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387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87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Jeddi Iman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1020 KIFER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INTUITIVE SURGICAL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ISRG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GM da Vinci Platforms &amp;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4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   CA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492.84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26,649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838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 - 2-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28-2023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-2204720</wp:posOffset>
            </wp:positionV>
            <wp:extent cx="29210" cy="22098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32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vest 25% per year over a four year period, commencing on each anniversary of February 10, 2023. RSUs convert into common stock on the vest date on a one-for-one basis. 25% of the shares have been released and a portion of the shares were held back to cover the statutory tax withholding requirements. The net shares were deposited into the holders account.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Constitute restricted stock units ("RSUs"). Each RSU represents a contingent right to receive one share of Issuer common stock upon vesting. 25% of the RSUs shall vest on each anniversary of February 10, 2023, subject to Reporting Person's continuous service to the Issuer through each such vesting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Stephanie Lim-Ignacio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For: Jeddi, Iman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06898" TargetMode="External"/><Relationship Id="rId14" Type="http://schemas.openxmlformats.org/officeDocument/2006/relationships/hyperlink" Target="http://www.sec.gov/cgi-bin/browse-edgar?action=getcompany&amp;CIK=00010352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2026-02-10T15:28:38Z</dcterms:created>
  <dcterms:modified xsi:type="dcterms:W3CDTF">2026-02-10T15:28:38Z</dcterms:modified>
</cp:coreProperties>
</file>