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150495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190500</wp:posOffset>
            </wp:positionV>
            <wp:extent cx="1380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99695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167640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1348" w:right="2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7"/>
          <w:szCs w:val="17"/>
          <w:b w:val="1"/>
          <w:bCs w:val="1"/>
          <w:color w:val="auto"/>
        </w:rPr>
        <w:t>000-30713</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77-0416458</w:t>
      </w:r>
    </w:p>
    <w:p>
      <w:pPr>
        <w:spacing w:after="0" w:line="72" w:lineRule="exact"/>
        <w:rPr>
          <w:sz w:val="24"/>
          <w:szCs w:val="24"/>
          <w:color w:val="auto"/>
        </w:rPr>
      </w:pPr>
    </w:p>
    <w:p>
      <w:pPr>
        <w:sectPr>
          <w:pgSz w:w="11900" w:h="16838" w:orient="portrait"/>
          <w:cols w:equalWidth="0" w:num="3">
            <w:col w:w="4660" w:space="720"/>
            <w:col w:w="3380" w:space="720"/>
            <w:col w:w="1940"/>
          </w:cols>
          <w:pgMar w:left="240" w:top="1348" w:right="2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7" w:lineRule="exact"/>
        <w:rPr>
          <w:sz w:val="24"/>
          <w:szCs w:val="24"/>
          <w:color w:val="auto"/>
        </w:rPr>
      </w:pPr>
    </w:p>
    <w:p>
      <w:pPr>
        <w:sectPr>
          <w:pgSz w:w="11900" w:h="16838" w:orient="portrait"/>
          <w:cols w:equalWidth="0" w:num="3">
            <w:col w:w="4220" w:space="720"/>
            <w:col w:w="3140" w:space="720"/>
            <w:col w:w="2620"/>
          </w:cols>
          <w:pgMar w:left="240" w:top="1348" w:right="2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1020 Kifer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w:t>
      </w:r>
      <w:r>
        <w:rPr>
          <w:rFonts w:ascii="Times New Roman" w:cs="Times New Roman" w:eastAsia="Times New Roman" w:hAnsi="Times New Roman"/>
          <w:sz w:val="21"/>
          <w:szCs w:val="21"/>
          <w:b w:val="1"/>
          <w:bCs w:val="1"/>
          <w:color w:val="auto"/>
        </w:rPr>
        <w:t>408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rPr>
        <w:t>523-2100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192405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ectPr>
          <w:pgSz w:w="11900" w:h="16838" w:orient="portrait"/>
          <w:cols w:equalWidth="0" w:num="1">
            <w:col w:w="11420"/>
          </w:cols>
          <w:pgMar w:left="240" w:top="1348" w:right="23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ISRG</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8" w:right="239" w:bottom="1440" w:gutter="0" w:footer="0" w:header="0"/>
          <w:type w:val="continuous"/>
        </w:sectPr>
      </w:pPr>
    </w:p>
    <w:bookmarkStart w:id="1" w:name="page2"/>
    <w:bookmarkEnd w:id="1"/>
    <w:p>
      <w:pPr>
        <w:ind w:left="1300" w:right="160" w:hanging="125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78" w:lineRule="exact"/>
        <w:rPr>
          <w:sz w:val="20"/>
          <w:szCs w:val="20"/>
          <w:color w:val="auto"/>
        </w:rPr>
      </w:pPr>
    </w:p>
    <w:p>
      <w:pPr>
        <w:jc w:val="both"/>
        <w:ind w:firstLine="8"/>
        <w:spacing w:after="0" w:line="266"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25, 2019, the Board of Directors (the “Board”) of Intuitive Surgical, Inc. (the “Company”) appointed Amy L. Ladd, M.D. to the Board and the Compensation Committee of the Board (the “Compensation Committee”) effective as of August 1, 2019. The Board also increased the authorized number of members of the Board to ten (10), effective as of August 1, 2019.</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Company’s compensation program for its non-employee directors, Dr. Ladd will receive an annual cash retainer of $66,000 consisting of $60,000 general annual Board retainer and $6,000 additional annual retainer for service as a member of the Compensation Committee, which amounts will be prorated for her service through the end of 2019. On August 2, 2019, Dr. Ladd will receive, pursuant to the Company’s Amended and Restated 2010 Incentive Award Plan, initial grants of an option to purchase shares of the Company’s common stock with a value of $93,334 (“Stock Option Value”) and restricted stock units (“RSUs”) with a value of $93,334 (“RSU Value”). The number of shares underlying the stock option granted will be determined by dividing the Stock Option Value by one-third of the 60 trading-day average closing price of the Company’s common stock reported by Nasdaq through the last trading day of the month prior to the grant date (the “60 Trading-Day Average”). The number of RSUs granted will be determined by dividing the RSU Value by the 60 Trading-Day Average. Each grant will vest fully on the earlier of (i) the first anniversary of the grant date or (ii) the next annual meeting of stockholders following the grant date, subject to Dr. Ladd’s continued service to the Company through such date.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will enter into its standard form of indemnity agreement with Dr. Ladd.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transactions in which Dr. Ladd had or will have a direct or indirect material interest that would be required to be reported under Item 404(a) of Regulation S-K.</w:t>
      </w:r>
    </w:p>
    <w:p>
      <w:pPr>
        <w:spacing w:after="0" w:line="212"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appointment of Dr. Ladd is attached hereto as Exhibit 99.1.</w:t>
      </w:r>
    </w:p>
    <w:p>
      <w:pPr>
        <w:spacing w:after="0" w:line="27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45" w:lineRule="exact"/>
        <w:rPr>
          <w:sz w:val="20"/>
          <w:szCs w:val="20"/>
          <w:color w:val="auto"/>
        </w:rPr>
      </w:pPr>
    </w:p>
    <w:p>
      <w:pPr>
        <w:ind w:left="40"/>
        <w:spacing w:after="0"/>
        <w:tabs>
          <w:tab w:leader="none" w:pos="12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Press Release dated July 29, 2019.</w:t>
        </w:r>
      </w:hyperlink>
    </w:p>
    <w:p>
      <w:pPr>
        <w:sectPr>
          <w:pgSz w:w="11900" w:h="16838" w:orient="portrait"/>
          <w:cols w:equalWidth="0" w:num="1">
            <w:col w:w="11420"/>
          </w:cols>
          <w:pgMar w:left="240" w:top="73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280" w:type="dxa"/>
            <w:vAlign w:val="bottom"/>
            <w:gridSpan w:val="2"/>
          </w:tcPr>
          <w:p>
            <w:pPr>
              <w:jc w:val="center"/>
              <w:ind w:right="2490"/>
              <w:spacing w:after="0"/>
              <w:rPr>
                <w:sz w:val="20"/>
                <w:szCs w:val="20"/>
                <w:color w:val="auto"/>
              </w:rPr>
            </w:pPr>
            <w:r>
              <w:rPr>
                <w:rFonts w:ascii="Times New Roman" w:cs="Times New Roman" w:eastAsia="Times New Roman" w:hAnsi="Times New Roman"/>
                <w:sz w:val="18"/>
                <w:szCs w:val="18"/>
                <w:color w:val="auto"/>
              </w:rPr>
              <w:t>INTUITIVE SURGICAL, INC.</w:t>
            </w:r>
          </w:p>
        </w:tc>
      </w:tr>
      <w:tr>
        <w:trPr>
          <w:trHeight w:val="54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2019</w:t>
            </w:r>
          </w:p>
        </w:tc>
        <w:tc>
          <w:tcPr>
            <w:tcW w:w="8280" w:type="dxa"/>
            <w:vAlign w:val="bottom"/>
            <w:gridSpan w:val="2"/>
          </w:tcPr>
          <w:p>
            <w:pPr>
              <w:jc w:val="center"/>
              <w:ind w:right="247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Marshall L. Mohr</w:t>
            </w:r>
          </w:p>
        </w:tc>
      </w:tr>
      <w:tr>
        <w:trPr>
          <w:trHeight w:val="27"/>
        </w:trPr>
        <w:tc>
          <w:tcPr>
            <w:tcW w:w="3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Marshall L. Mohr</w:t>
            </w:r>
          </w:p>
        </w:tc>
      </w:tr>
      <w:tr>
        <w:trPr>
          <w:trHeight w:val="270"/>
        </w:trPr>
        <w:tc>
          <w:tcPr>
            <w:tcW w:w="310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420"/>
          </w:cols>
          <w:pgMar w:left="240" w:top="57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Appoints Amy L. Ladd, M.D. to its Board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SUNNYVALE, Calif., July 29, 2019 (GLOBE NEWSWIRE) -- Intuitive (Nasdaq: ISRG), a global technology leader in minimally invasive care and the pioneer of robotic-assisted surgery, today announced the appointment of Amy L. Ladd, M.D., from Stanford University Medical Center to its board of directors, effective Aug. 1, 2019.</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“Dr. Ladd brings deep surgical and medical perspective to our board of directors,” said Intuitive CEO Gary Guthart. “We are excited to welcome her and look forward to her contributions.”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Dr. Ladd has spent nearly three decades practicing orthopaedic surgery at Stanford University, </w:t>
      </w:r>
      <w:r>
        <w:rPr>
          <w:rFonts w:ascii="Times New Roman" w:cs="Times New Roman" w:eastAsia="Times New Roman" w:hAnsi="Times New Roman"/>
          <w:sz w:val="18"/>
          <w:szCs w:val="18"/>
          <w:color w:val="000000"/>
        </w:rPr>
        <w:t>specializing in hand surgery and research focused 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deciphering the progression and treatment of common basilar thumb arthritis. </w:t>
      </w:r>
      <w:r>
        <w:rPr>
          <w:rFonts w:ascii="Times New Roman" w:cs="Times New Roman" w:eastAsia="Times New Roman" w:hAnsi="Times New Roman"/>
          <w:sz w:val="18"/>
          <w:szCs w:val="18"/>
          <w:color w:val="212529"/>
        </w:rPr>
        <w:t>She currently serves as the Elsbach-Richards Professor of Surgery, and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courtesy, Professor of Medicine (Immunology &amp; Rheumatology) at the Stanford University Medical Center. She holds ten patents and trademarks for innovation that include treatment for wrist fractures, thumb arthritis and that promote musculoskeletal health awareness.</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Dr. Ladd also served as the chair of the American Academy of Orthopaedic Surgeons (AAOS) Board of Specialties Society and is a past member of the AAOS board of directors. She previously served as president of the Ruth Jackson Orthopaedic Society.</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Dr. Ladd received her M.D. from SUNY Upstate Medical University, completed Orthopaedic Residency at the University of Rochester, and completed the Harvard Combined Hand Surgery Fellowship. Dr. Ladd was a fellow at L'Institut de la Main in Paris, France prior to joining the Stanford University faculty in 1990. She completed her undergraduate degree in History at Dartmouth College.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Intuitive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Intuitive (Nasdaq: ISRG), headquartered in Sunnyvale, Calif., is a global technology leader in minimally invasive care and the pioneer of robotic-assisted surgery. At Intuitive, we believe that minimally invasive care is life-enhancing care. Through ingenuity and intelligent technology, we expand the potential of physicians to heal without constraints.</w:t>
      </w:r>
    </w:p>
    <w:p>
      <w:pPr>
        <w:spacing w:after="0" w:line="4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212529"/>
        </w:rPr>
        <w:t>Intuitive brings more than two decades of leadership in robotic-assisted surgical technology and solutions to its offerings, and develops, manufactures and markets the da Vinci</w:t>
      </w:r>
      <w:r>
        <w:rPr>
          <w:rFonts w:ascii="Times New Roman" w:cs="Times New Roman" w:eastAsia="Times New Roman" w:hAnsi="Times New Roman"/>
          <w:sz w:val="25"/>
          <w:szCs w:val="25"/>
          <w:color w:val="212529"/>
          <w:vertAlign w:val="superscript"/>
        </w:rPr>
        <w:t>®</w:t>
      </w:r>
      <w:r>
        <w:rPr>
          <w:rFonts w:ascii="Times New Roman" w:cs="Times New Roman" w:eastAsia="Times New Roman" w:hAnsi="Times New Roman"/>
          <w:sz w:val="18"/>
          <w:szCs w:val="18"/>
          <w:color w:val="212529"/>
        </w:rPr>
        <w:t xml:space="preserve"> surgical system and the Ion™ endoluminal system.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da Vinci Surgical System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There are several models of the da Vinci surgical system. The da Vinci surgical systems are designed to help surgeons perform minimally invasive surgery. Da Vinci systems offer surgeons high-definition 3D vision, a magnified view, and robotic and computer assistance. They use specialized instrumentation, including a miniaturized surgical camera and wristed instruments (i.e., scissors, scalpels and forceps) that are designed to help with precise dissection and reconstruction deep inside the body.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the company’s website at </w:t>
      </w:r>
      <w:r>
        <w:rPr>
          <w:rFonts w:ascii="Times New Roman" w:cs="Times New Roman" w:eastAsia="Times New Roman" w:hAnsi="Times New Roman"/>
          <w:sz w:val="18"/>
          <w:szCs w:val="18"/>
          <w:u w:val="single" w:color="auto"/>
          <w:color w:val="0000FF"/>
        </w:rPr>
        <w:t>www.intuitive.com</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Public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Surgical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corp.comm@intusurg.com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+1-408-523-7337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2019-12-28T09:53:25Z</dcterms:created>
  <dcterms:modified xsi:type="dcterms:W3CDTF">2019-12-28T09:53:25Z</dcterms:modified>
</cp:coreProperties>
</file>