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Samath Jamie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ISRG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 &amp; Enterprise Technol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492.84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25% per year over a four year period, commencing on each anniversary of February 10, 2023. RSUs convert into common stock on the vest date on a one-for-one basis. 25% of the shares have been released and a portion of the shares were held back to cover the statutory tax withholding requirements. The net shares were deposited into the holders account.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("RSUs"). Each RSU represents a contingent right to receive one share of Issuer common stock upon vesting. 25% of the RSUs shall vest on each anniversary of February 10, 2023, subject to Reporting Person's continuous service to the Issuer through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Stephanie Lim-Ignacio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For: Samath, Jamie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0269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2026-02-10T15:23:46Z</dcterms:created>
  <dcterms:modified xsi:type="dcterms:W3CDTF">2026-02-10T15:23:46Z</dcterms:modified>
</cp:coreProperties>
</file>