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5312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312410"/>
                    </a:xfrm>
                    <a:prstGeom prst="rect">
                      <a:avLst/>
                    </a:prstGeom>
                    <a:noFill/>
                  </pic:spPr>
                </pic:pic>
              </a:graphicData>
            </a:graphic>
          </wp:anchor>
        </w:drawing>
      </w:r>
    </w:p>
    <w:p>
      <w:pPr>
        <w:spacing w:after="0" w:line="1260"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Leonard Keith R</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1020 KIFER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INTUITIVE SURGICAL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ISRG</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04/30/2026</w:t>
      </w:r>
    </w:p>
    <w:p>
      <w:pPr>
        <w:spacing w:after="0" w:line="20" w:lineRule="exact"/>
        <w:rPr>
          <w:sz w:val="24"/>
          <w:szCs w:val="24"/>
          <w:color w:val="auto"/>
        </w:rPr>
      </w:pPr>
      <w:r>
        <w:rPr>
          <w:sz w:val="24"/>
          <w:szCs w:val="24"/>
          <w:color w:val="auto"/>
        </w:rPr>
        <w:br w:type="column"/>
      </w:r>
    </w:p>
    <w:p>
      <w:pPr>
        <w:ind w:left="-4" w:right="600" w:firstLine="4"/>
        <w:spacing w:after="0" w:line="266"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0"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200" w:space="720"/>
            <w:col w:w="3220" w:space="604"/>
            <w:col w:w="3336"/>
          </w:cols>
          <w:pgMar w:left="460" w:top="216" w:right="359" w:bottom="1440" w:gutter="0" w:footer="0" w:header="0"/>
          <w:type w:val="continuous"/>
        </w:sectPr>
      </w:pPr>
    </w:p>
    <w:p>
      <w:pPr>
        <w:spacing w:after="0" w:line="23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SUNNYVALE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94086</w:t>
            </w:r>
          </w:p>
        </w:tc>
      </w:tr>
      <w:tr>
        <w:trPr>
          <w:trHeight w:val="152"/>
        </w:trPr>
        <w:tc>
          <w:tcPr>
            <w:tcW w:w="2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8"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80"/>
              <w:spacing w:after="0" w:line="130"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Pr>
          <w:p>
            <w:pPr>
              <w:spacing w:after="0"/>
              <w:rPr>
                <w:sz w:val="22"/>
                <w:szCs w:val="22"/>
                <w:color w:val="auto"/>
              </w:rPr>
            </w:pPr>
          </w:p>
        </w:tc>
        <w:tc>
          <w:tcPr>
            <w:tcW w:w="172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0000FF"/>
              </w:rPr>
              <w:t>04/30/2026</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5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531</w:t>
            </w:r>
          </w:p>
        </w:tc>
        <w:tc>
          <w:tcPr>
            <w:tcW w:w="66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gridSpan w:val="2"/>
          </w:tcPr>
          <w:p>
            <w:pPr>
              <w:ind w:left="240"/>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0.0</w:t>
            </w:r>
          </w:p>
        </w:tc>
        <w:tc>
          <w:tcPr>
            <w:tcW w:w="1320" w:type="dxa"/>
            <w:vAlign w:val="bottom"/>
            <w:gridSpan w:val="3"/>
          </w:tcPr>
          <w:p>
            <w:pPr>
              <w:ind w:left="580"/>
              <w:spacing w:after="0"/>
              <w:rPr>
                <w:sz w:val="20"/>
                <w:szCs w:val="20"/>
                <w:color w:val="auto"/>
              </w:rPr>
            </w:pPr>
            <w:r>
              <w:rPr>
                <w:rFonts w:ascii="Times New Roman" w:cs="Times New Roman" w:eastAsia="Times New Roman" w:hAnsi="Times New Roman"/>
                <w:sz w:val="17"/>
                <w:szCs w:val="17"/>
                <w:color w:val="0000FF"/>
              </w:rPr>
              <w:t>901</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6"/>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11"/>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531</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ind w:left="28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0.0</w:t>
            </w:r>
          </w:p>
        </w:tc>
        <w:tc>
          <w:tcPr>
            <w:tcW w:w="1100" w:type="dxa"/>
            <w:vAlign w:val="bottom"/>
            <w:vMerge w:val="restart"/>
          </w:tcPr>
          <w:p>
            <w:pPr>
              <w:jc w:val="right"/>
              <w:ind w:right="195"/>
              <w:spacing w:after="0" w:line="144" w:lineRule="exact"/>
              <w:rPr>
                <w:sz w:val="20"/>
                <w:szCs w:val="20"/>
                <w:color w:val="auto"/>
              </w:rPr>
            </w:pPr>
            <w:r>
              <w:rPr>
                <w:rFonts w:ascii="Times New Roman" w:cs="Times New Roman" w:eastAsia="Times New Roman" w:hAnsi="Times New Roman"/>
                <w:sz w:val="13"/>
                <w:szCs w:val="13"/>
                <w:color w:val="0000FF"/>
              </w:rPr>
              <w:t>04/30/2026</w:t>
            </w:r>
          </w:p>
        </w:tc>
        <w:tc>
          <w:tcPr>
            <w:tcW w:w="1100" w:type="dxa"/>
            <w:vAlign w:val="bottom"/>
          </w:tcPr>
          <w:p>
            <w:pPr>
              <w:spacing w:after="0"/>
              <w:rPr>
                <w:sz w:val="5"/>
                <w:szCs w:val="5"/>
                <w:color w:val="auto"/>
              </w:rPr>
            </w:pPr>
          </w:p>
        </w:tc>
        <w:tc>
          <w:tcPr>
            <w:tcW w:w="620" w:type="dxa"/>
            <w:vAlign w:val="bottom"/>
            <w:vMerge w:val="restart"/>
          </w:tcPr>
          <w:p>
            <w:pPr>
              <w:ind w:left="140"/>
              <w:spacing w:after="0" w:line="144"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ind w:left="440"/>
              <w:spacing w:after="0" w:line="144" w:lineRule="exact"/>
              <w:rPr>
                <w:sz w:val="20"/>
                <w:szCs w:val="20"/>
                <w:color w:val="auto"/>
              </w:rPr>
            </w:pPr>
            <w:r>
              <w:rPr>
                <w:rFonts w:ascii="Times New Roman" w:cs="Times New Roman" w:eastAsia="Times New Roman" w:hAnsi="Times New Roman"/>
                <w:sz w:val="13"/>
                <w:szCs w:val="13"/>
                <w:color w:val="0000FF"/>
              </w:rPr>
              <w:t>531</w:t>
            </w:r>
          </w:p>
        </w:tc>
        <w:tc>
          <w:tcPr>
            <w:tcW w:w="7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ind w:left="20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0.0</w:t>
            </w:r>
          </w:p>
        </w:tc>
        <w:tc>
          <w:tcPr>
            <w:tcW w:w="600" w:type="dxa"/>
            <w:vAlign w:val="bottom"/>
            <w:vMerge w:val="restart"/>
          </w:tcPr>
          <w:p>
            <w:pPr>
              <w:jc w:val="right"/>
              <w:ind w:right="100"/>
              <w:spacing w:after="0" w:line="144"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0.0</w:t>
            </w:r>
          </w:p>
        </w:tc>
        <w:tc>
          <w:tcPr>
            <w:tcW w:w="1100" w:type="dxa"/>
            <w:vAlign w:val="bottom"/>
            <w:vMerge w:val="restart"/>
          </w:tcPr>
          <w:p>
            <w:pPr>
              <w:jc w:val="right"/>
              <w:ind w:right="195"/>
              <w:spacing w:after="0"/>
              <w:rPr>
                <w:sz w:val="20"/>
                <w:szCs w:val="20"/>
                <w:color w:val="auto"/>
              </w:rPr>
            </w:pPr>
            <w:r>
              <w:rPr>
                <w:rFonts w:ascii="Times New Roman" w:cs="Times New Roman" w:eastAsia="Times New Roman" w:hAnsi="Times New Roman"/>
                <w:sz w:val="13"/>
                <w:szCs w:val="13"/>
                <w:color w:val="0000FF"/>
              </w:rPr>
              <w:t>04/30/2026</w:t>
            </w:r>
          </w:p>
        </w:tc>
        <w:tc>
          <w:tcPr>
            <w:tcW w:w="1100" w:type="dxa"/>
            <w:vAlign w:val="bottom"/>
          </w:tcPr>
          <w:p>
            <w:pPr>
              <w:spacing w:after="0"/>
              <w:rPr>
                <w:sz w:val="12"/>
                <w:szCs w:val="12"/>
                <w:color w:val="auto"/>
              </w:rPr>
            </w:pPr>
          </w:p>
        </w:tc>
        <w:tc>
          <w:tcPr>
            <w:tcW w:w="6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2"/>
                <w:szCs w:val="12"/>
                <w:color w:val="auto"/>
              </w:rPr>
            </w:pPr>
          </w:p>
        </w:tc>
        <w:tc>
          <w:tcPr>
            <w:tcW w:w="7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554</w:t>
            </w: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2"/>
                <w:szCs w:val="12"/>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554</w:t>
            </w:r>
          </w:p>
        </w:tc>
        <w:tc>
          <w:tcPr>
            <w:tcW w:w="40" w:type="dxa"/>
            <w:vAlign w:val="bottom"/>
          </w:tcPr>
          <w:p>
            <w:pPr>
              <w:spacing w:after="0"/>
              <w:rPr>
                <w:sz w:val="12"/>
                <w:szCs w:val="12"/>
                <w:color w:val="auto"/>
              </w:rPr>
            </w:pPr>
          </w:p>
        </w:tc>
        <w:tc>
          <w:tcPr>
            <w:tcW w:w="720" w:type="dxa"/>
            <w:vAlign w:val="bottom"/>
            <w:gridSpan w:val="2"/>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0.0</w:t>
            </w:r>
          </w:p>
        </w:tc>
        <w:tc>
          <w:tcPr>
            <w:tcW w:w="600" w:type="dxa"/>
            <w:vAlign w:val="bottom"/>
            <w:vMerge w:val="restart"/>
          </w:tcPr>
          <w:p>
            <w:pPr>
              <w:jc w:val="right"/>
              <w:ind w:right="20"/>
              <w:spacing w:after="0"/>
              <w:rPr>
                <w:sz w:val="20"/>
                <w:szCs w:val="20"/>
                <w:color w:val="auto"/>
              </w:rPr>
            </w:pPr>
            <w:r>
              <w:rPr>
                <w:rFonts w:ascii="Times New Roman" w:cs="Times New Roman" w:eastAsia="Times New Roman" w:hAnsi="Times New Roman"/>
                <w:sz w:val="13"/>
                <w:szCs w:val="13"/>
                <w:color w:val="0000FF"/>
              </w:rPr>
              <w:t>554</w:t>
            </w:r>
          </w:p>
        </w:tc>
        <w:tc>
          <w:tcPr>
            <w:tcW w:w="280" w:type="dxa"/>
            <w:vAlign w:val="bottom"/>
          </w:tcPr>
          <w:p>
            <w:pPr>
              <w:spacing w:after="0"/>
              <w:rPr>
                <w:sz w:val="12"/>
                <w:szCs w:val="12"/>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Units - 4-</w:t>
            </w:r>
          </w:p>
        </w:tc>
        <w:tc>
          <w:tcPr>
            <w:tcW w:w="78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660" w:type="dxa"/>
            <w:vAlign w:val="bottom"/>
            <w:vMerge w:val="restart"/>
          </w:tcPr>
          <w:p>
            <w:pPr>
              <w:ind w:left="14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72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30-2026</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-2560320</wp:posOffset>
            </wp:positionV>
            <wp:extent cx="29210" cy="256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56540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100% of the RSUs shall vest on the earlier of the one year anniversary of the date of grant or the next Annual Meeting of Stockholders, subject to the Reporting Person's continued service.</w:t>
      </w:r>
    </w:p>
    <w:p>
      <w:pPr>
        <w:spacing w:after="0" w:line="5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Stephanie Lim-Ignacio</w:t>
            </w: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8"/>
              </w:rPr>
              <w:t>04/30/2026</w:t>
            </w:r>
          </w:p>
        </w:tc>
        <w:tc>
          <w:tcPr>
            <w:tcW w:w="0" w:type="dxa"/>
            <w:vAlign w:val="bottom"/>
          </w:tcPr>
          <w:p>
            <w:pPr>
              <w:spacing w:after="0"/>
              <w:rPr>
                <w:sz w:val="1"/>
                <w:szCs w:val="1"/>
                <w:color w:val="auto"/>
              </w:rPr>
            </w:pPr>
          </w:p>
        </w:tc>
      </w:tr>
      <w:tr>
        <w:trPr>
          <w:trHeight w:val="84"/>
        </w:trPr>
        <w:tc>
          <w:tcPr>
            <w:tcW w:w="1840" w:type="dxa"/>
            <w:vAlign w:val="bottom"/>
            <w:tcBorders>
              <w:top w:val="single" w:sz="8" w:color="auto"/>
            </w:tcBorders>
            <w:gridSpan w:val="2"/>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For: Leonard, Keith</w:t>
            </w:r>
          </w:p>
        </w:tc>
        <w:tc>
          <w:tcPr>
            <w:tcW w:w="20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840" w:type="dxa"/>
            <w:vAlign w:val="bottom"/>
            <w:tcBorders>
              <w:top w:val="single" w:sz="8" w:color="auto"/>
            </w:tcBorders>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40" w:type="dxa"/>
            <w:vAlign w:val="bottom"/>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16180" TargetMode="External"/><Relationship Id="rId14" Type="http://schemas.openxmlformats.org/officeDocument/2006/relationships/hyperlink" Target="http://www.sec.gov/cgi-bin/browse-edgar?action=getcompany&amp;CIK=00010352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2026-04-30T20:04:45Z</dcterms:created>
  <dcterms:modified xsi:type="dcterms:W3CDTF">2026-04-30T20:04:45Z</dcterms:modified>
</cp:coreProperties>
</file>