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ANNUAL REPORT PURSUANT TO SECTION 13 OR 15(d) OF THE SECURITIES EXCHANGE ACT OF 1934</w:t>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83" w:lineRule="exact"/>
        <w:rPr>
          <w:sz w:val="24"/>
          <w:szCs w:val="24"/>
          <w:color w:val="auto"/>
        </w:rPr>
      </w:pPr>
    </w:p>
    <w:p>
      <w:pPr>
        <w:ind w:left="1140" w:right="300" w:hanging="565"/>
        <w:spacing w:after="0" w:line="251" w:lineRule="auto"/>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TRANSITION REPORT PURSUANT TO SECTION 13 OR 15(d) OF THE SECURITIES EXCHANGE ACT OF 1934</w:t>
      </w:r>
    </w:p>
    <w:p>
      <w:pPr>
        <w:spacing w:after="0" w:line="28"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6200" w:type="dxa"/>
            <w:vAlign w:val="bottom"/>
            <w:gridSpan w:val="2"/>
          </w:tcPr>
          <w:p>
            <w:pPr>
              <w:ind w:left="2920"/>
              <w:spacing w:after="0"/>
              <w:rPr>
                <w:sz w:val="20"/>
                <w:szCs w:val="20"/>
                <w:color w:val="auto"/>
              </w:rPr>
            </w:pPr>
            <w:r>
              <w:rPr>
                <w:rFonts w:ascii="Arial" w:cs="Arial" w:eastAsia="Arial" w:hAnsi="Arial"/>
                <w:sz w:val="18"/>
                <w:szCs w:val="18"/>
                <w:b w:val="1"/>
                <w:bCs w:val="1"/>
                <w:color w:val="auto"/>
                <w:w w:val="99"/>
              </w:rPr>
              <w:t>FOR THE TRANSITION PERIOD FROM</w:t>
            </w: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43"/>
        </w:trPr>
        <w:tc>
          <w:tcPr>
            <w:tcW w:w="8400" w:type="dxa"/>
            <w:vAlign w:val="bottom"/>
            <w:gridSpan w:val="7"/>
          </w:tcPr>
          <w:p>
            <w:pPr>
              <w:jc w:val="center"/>
              <w:ind w:left="2032"/>
              <w:spacing w:after="0"/>
              <w:rPr>
                <w:sz w:val="20"/>
                <w:szCs w:val="20"/>
                <w:color w:val="auto"/>
              </w:rPr>
            </w:pPr>
            <w:r>
              <w:rPr>
                <w:rFonts w:ascii="Arial" w:cs="Arial" w:eastAsia="Arial" w:hAnsi="Arial"/>
                <w:sz w:val="18"/>
                <w:szCs w:val="18"/>
                <w:b w:val="1"/>
                <w:bCs w:val="1"/>
                <w:color w:val="auto"/>
                <w:w w:val="97"/>
              </w:rPr>
              <w:t>COMMISSION FILE NUMBER 000-30713</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4"/>
        </w:trPr>
        <w:tc>
          <w:tcPr>
            <w:tcW w:w="4060" w:type="dxa"/>
            <w:vAlign w:val="bottom"/>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61"/>
        </w:trPr>
        <w:tc>
          <w:tcPr>
            <w:tcW w:w="8400" w:type="dxa"/>
            <w:vAlign w:val="bottom"/>
            <w:gridSpan w:val="7"/>
          </w:tcPr>
          <w:p>
            <w:pPr>
              <w:jc w:val="center"/>
              <w:ind w:left="2012"/>
              <w:spacing w:after="0"/>
              <w:rPr>
                <w:sz w:val="20"/>
                <w:szCs w:val="20"/>
                <w:color w:val="auto"/>
              </w:rPr>
            </w:pPr>
            <w:r>
              <w:rPr>
                <w:rFonts w:ascii="Arial" w:cs="Arial" w:eastAsia="Arial" w:hAnsi="Arial"/>
                <w:sz w:val="43"/>
                <w:szCs w:val="43"/>
                <w:b w:val="1"/>
                <w:bCs w:val="1"/>
                <w:color w:val="auto"/>
              </w:rPr>
              <w:t>INTUITIVE SURGICAL, INC.</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4"/>
        </w:trPr>
        <w:tc>
          <w:tcPr>
            <w:tcW w:w="8400" w:type="dxa"/>
            <w:vAlign w:val="bottom"/>
            <w:gridSpan w:val="7"/>
          </w:tcPr>
          <w:p>
            <w:pPr>
              <w:jc w:val="center"/>
              <w:ind w:left="2032"/>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71"/>
        </w:trPr>
        <w:tc>
          <w:tcPr>
            <w:tcW w:w="646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w w:val="96"/>
              </w:rPr>
              <w:t>DELAWARE</w:t>
            </w:r>
          </w:p>
        </w:tc>
        <w:tc>
          <w:tcPr>
            <w:tcW w:w="2620" w:type="dxa"/>
            <w:vAlign w:val="bottom"/>
            <w:gridSpan w:val="5"/>
          </w:tcPr>
          <w:p>
            <w:pPr>
              <w:jc w:val="center"/>
              <w:ind w:left="812"/>
              <w:spacing w:after="0"/>
              <w:rPr>
                <w:sz w:val="20"/>
                <w:szCs w:val="20"/>
                <w:color w:val="auto"/>
              </w:rPr>
            </w:pPr>
            <w:r>
              <w:rPr>
                <w:rFonts w:ascii="Arial" w:cs="Arial" w:eastAsia="Arial" w:hAnsi="Arial"/>
                <w:sz w:val="18"/>
                <w:szCs w:val="18"/>
                <w:b w:val="1"/>
                <w:bCs w:val="1"/>
                <w:color w:val="auto"/>
                <w:w w:val="87"/>
              </w:rPr>
              <w:t>77-0416458</w:t>
            </w:r>
          </w:p>
        </w:tc>
        <w:tc>
          <w:tcPr>
            <w:tcW w:w="840" w:type="dxa"/>
            <w:vAlign w:val="bottom"/>
          </w:tcPr>
          <w:p>
            <w:pPr>
              <w:spacing w:after="0"/>
              <w:rPr>
                <w:sz w:val="23"/>
                <w:szCs w:val="23"/>
                <w:color w:val="auto"/>
              </w:rPr>
            </w:pPr>
          </w:p>
        </w:tc>
      </w:tr>
      <w:tr>
        <w:trPr>
          <w:trHeight w:val="149"/>
        </w:trPr>
        <w:tc>
          <w:tcPr>
            <w:tcW w:w="6460" w:type="dxa"/>
            <w:vAlign w:val="bottom"/>
            <w:gridSpan w:val="3"/>
          </w:tcPr>
          <w:p>
            <w:pPr>
              <w:jc w:val="center"/>
              <w:ind w:right="16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840" w:type="dxa"/>
            <w:vAlign w:val="bottom"/>
          </w:tcPr>
          <w:p>
            <w:pPr>
              <w:spacing w:after="0"/>
              <w:rPr>
                <w:sz w:val="12"/>
                <w:szCs w:val="12"/>
                <w:color w:val="auto"/>
              </w:rPr>
            </w:pPr>
          </w:p>
        </w:tc>
      </w:tr>
      <w:tr>
        <w:trPr>
          <w:trHeight w:val="174"/>
        </w:trPr>
        <w:tc>
          <w:tcPr>
            <w:tcW w:w="6460" w:type="dxa"/>
            <w:vAlign w:val="bottom"/>
            <w:gridSpan w:val="3"/>
          </w:tcPr>
          <w:p>
            <w:pPr>
              <w:jc w:val="center"/>
              <w:ind w:right="1640"/>
              <w:spacing w:after="0"/>
              <w:rPr>
                <w:sz w:val="20"/>
                <w:szCs w:val="20"/>
                <w:color w:val="auto"/>
              </w:rPr>
            </w:pPr>
            <w:r>
              <w:rPr>
                <w:rFonts w:ascii="Arial" w:cs="Arial" w:eastAsia="Arial" w:hAnsi="Arial"/>
                <w:sz w:val="14"/>
                <w:szCs w:val="14"/>
                <w:b w:val="1"/>
                <w:bCs w:val="1"/>
                <w:color w:val="auto"/>
                <w:w w:val="89"/>
              </w:rPr>
              <w:t>Incorporation or Organization)</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0"/>
              </w:rPr>
              <w:t>Identification Number)</w:t>
            </w:r>
          </w:p>
        </w:tc>
        <w:tc>
          <w:tcPr>
            <w:tcW w:w="840" w:type="dxa"/>
            <w:vAlign w:val="bottom"/>
          </w:tcPr>
          <w:p>
            <w:pPr>
              <w:spacing w:after="0"/>
              <w:rPr>
                <w:sz w:val="15"/>
                <w:szCs w:val="15"/>
                <w:color w:val="auto"/>
              </w:rPr>
            </w:pPr>
          </w:p>
        </w:tc>
      </w:tr>
      <w:tr>
        <w:trPr>
          <w:trHeight w:val="283"/>
        </w:trPr>
        <w:tc>
          <w:tcPr>
            <w:tcW w:w="4060" w:type="dxa"/>
            <w:vAlign w:val="bottom"/>
          </w:tcPr>
          <w:p>
            <w:pPr>
              <w:spacing w:after="0"/>
              <w:rPr>
                <w:sz w:val="24"/>
                <w:szCs w:val="24"/>
                <w:color w:val="auto"/>
              </w:rPr>
            </w:pPr>
          </w:p>
        </w:tc>
        <w:tc>
          <w:tcPr>
            <w:tcW w:w="2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1266 KIFER RD</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8"/>
        </w:trPr>
        <w:tc>
          <w:tcPr>
            <w:tcW w:w="4060" w:type="dxa"/>
            <w:vAlign w:val="bottom"/>
          </w:tcPr>
          <w:p>
            <w:pPr>
              <w:spacing w:after="0"/>
              <w:rPr>
                <w:sz w:val="18"/>
                <w:szCs w:val="18"/>
                <w:color w:val="auto"/>
              </w:rPr>
            </w:pPr>
          </w:p>
        </w:tc>
        <w:tc>
          <w:tcPr>
            <w:tcW w:w="2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SUNNYVALE, CA 94086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74"/>
        </w:trPr>
        <w:tc>
          <w:tcPr>
            <w:tcW w:w="8400" w:type="dxa"/>
            <w:vAlign w:val="bottom"/>
            <w:gridSpan w:val="7"/>
          </w:tcPr>
          <w:p>
            <w:pPr>
              <w:jc w:val="center"/>
              <w:ind w:left="2012"/>
              <w:spacing w:after="0"/>
              <w:rPr>
                <w:sz w:val="20"/>
                <w:szCs w:val="20"/>
                <w:color w:val="auto"/>
              </w:rPr>
            </w:pPr>
            <w:r>
              <w:rPr>
                <w:rFonts w:ascii="Arial" w:cs="Arial" w:eastAsia="Arial" w:hAnsi="Arial"/>
                <w:sz w:val="14"/>
                <w:szCs w:val="14"/>
                <w:b w:val="1"/>
                <w:bCs w:val="1"/>
                <w:color w:val="auto"/>
                <w:w w:val="87"/>
              </w:rPr>
              <w:t>(Address of Principal Executive Offices including Zip Code)</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71"/>
        </w:trPr>
        <w:tc>
          <w:tcPr>
            <w:tcW w:w="6200" w:type="dxa"/>
            <w:vAlign w:val="bottom"/>
            <w:gridSpan w:val="2"/>
          </w:tcPr>
          <w:p>
            <w:pPr>
              <w:jc w:val="center"/>
              <w:ind w:left="4212"/>
              <w:spacing w:after="0"/>
              <w:rPr>
                <w:sz w:val="20"/>
                <w:szCs w:val="20"/>
                <w:color w:val="auto"/>
              </w:rPr>
            </w:pPr>
            <w:r>
              <w:rPr>
                <w:rFonts w:ascii="Arial" w:cs="Arial" w:eastAsia="Arial" w:hAnsi="Arial"/>
                <w:sz w:val="18"/>
                <w:szCs w:val="18"/>
                <w:b w:val="1"/>
                <w:bCs w:val="1"/>
                <w:color w:val="auto"/>
                <w:w w:val="89"/>
              </w:rPr>
              <w:t>(408) 523-2100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74"/>
        </w:trPr>
        <w:tc>
          <w:tcPr>
            <w:tcW w:w="8400" w:type="dxa"/>
            <w:vAlign w:val="bottom"/>
            <w:gridSpan w:val="7"/>
          </w:tcPr>
          <w:p>
            <w:pPr>
              <w:jc w:val="center"/>
              <w:ind w:left="201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82"/>
        </w:trPr>
        <w:tc>
          <w:tcPr>
            <w:tcW w:w="8400" w:type="dxa"/>
            <w:vAlign w:val="bottom"/>
            <w:gridSpan w:val="7"/>
          </w:tcPr>
          <w:p>
            <w:pPr>
              <w:jc w:val="center"/>
              <w:ind w:left="203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6"/>
        </w:trPr>
        <w:tc>
          <w:tcPr>
            <w:tcW w:w="646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74"/>
        </w:trPr>
        <w:tc>
          <w:tcPr>
            <w:tcW w:w="646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Common Stock, par value $0.001 per share</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4"/>
          </w:tcPr>
          <w:p>
            <w:pPr>
              <w:jc w:val="center"/>
              <w:ind w:right="432"/>
              <w:spacing w:after="0"/>
              <w:rPr>
                <w:sz w:val="20"/>
                <w:szCs w:val="20"/>
                <w:color w:val="auto"/>
              </w:rPr>
            </w:pPr>
            <w:r>
              <w:rPr>
                <w:rFonts w:ascii="Arial" w:cs="Arial" w:eastAsia="Arial" w:hAnsi="Arial"/>
                <w:sz w:val="14"/>
                <w:szCs w:val="14"/>
                <w:b w:val="1"/>
                <w:bCs w:val="1"/>
                <w:color w:val="auto"/>
                <w:w w:val="90"/>
              </w:rPr>
              <w:t>The NASDAQ Global Select Market</w:t>
            </w:r>
          </w:p>
        </w:tc>
      </w:tr>
      <w:tr>
        <w:trPr>
          <w:trHeight w:val="282"/>
        </w:trPr>
        <w:tc>
          <w:tcPr>
            <w:tcW w:w="8400" w:type="dxa"/>
            <w:vAlign w:val="bottom"/>
            <w:gridSpan w:val="7"/>
          </w:tcPr>
          <w:p>
            <w:pPr>
              <w:jc w:val="center"/>
              <w:ind w:left="2012"/>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7"/>
        </w:trPr>
        <w:tc>
          <w:tcPr>
            <w:tcW w:w="84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40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8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55" w:lineRule="exact"/>
        <w:rPr>
          <w:sz w:val="24"/>
          <w:szCs w:val="24"/>
          <w:color w:val="auto"/>
        </w:rPr>
      </w:pPr>
    </w:p>
    <w:p>
      <w:pPr>
        <w:ind w:right="2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0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33"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right="120"/>
        <w:spacing w:after="0" w:line="210"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569" w:lineRule="exact"/>
        <w:rPr>
          <w:sz w:val="24"/>
          <w:szCs w:val="24"/>
          <w:color w:val="auto"/>
        </w:rPr>
      </w:pPr>
    </w:p>
    <w:p>
      <w:pPr>
        <w:sectPr>
          <w:pgSz w:w="11900" w:h="16838" w:orient="portrait"/>
          <w:cols w:equalWidth="0" w:num="7">
            <w:col w:w="2160" w:space="80"/>
            <w:col w:w="820" w:space="720"/>
            <w:col w:w="1180" w:space="80"/>
            <w:col w:w="160" w:space="420"/>
            <w:col w:w="1940" w:space="720"/>
            <w:col w:w="1960" w:space="80"/>
            <w:col w:w="1080"/>
          </w:cols>
          <w:pgMar w:left="240" w:top="230" w:right="259" w:bottom="1440" w:gutter="0" w:footer="0" w:header="0"/>
          <w:type w:val="continuous"/>
        </w:sect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The aggregate market value of the voting stock held by non-affiliates of the registrant on June 30, 2008, based upon the closing price of Common Stock on such date as reported by NASDAQ Global Select Market, was approximately $10,344,393,000. Shares of voting stock held by each officer and director have been excluded in that such persons may be deemed to be affiliates. This assumption regarding affiliate status is not necessarily a conclusive determination for other purposes.</w:t>
      </w:r>
    </w:p>
    <w:p>
      <w:pPr>
        <w:spacing w:after="0" w:line="6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outstanding shares of the registrant’s common stock on January 31, 2009 was 39,186,045.</w:t>
      </w:r>
    </w:p>
    <w:p>
      <w:pPr>
        <w:spacing w:after="0" w:line="8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40" w:type="dxa"/>
            <w:vAlign w:val="bottom"/>
            <w:gridSpan w:val="9"/>
          </w:tcPr>
          <w:p>
            <w:pPr>
              <w:jc w:val="center"/>
              <w:ind w:right="3160"/>
              <w:spacing w:after="0"/>
              <w:rPr>
                <w:sz w:val="20"/>
                <w:szCs w:val="20"/>
                <w:color w:val="auto"/>
              </w:rPr>
            </w:pPr>
            <w:r>
              <w:rPr>
                <w:rFonts w:ascii="Arial" w:cs="Arial" w:eastAsia="Arial" w:hAnsi="Arial"/>
                <w:sz w:val="18"/>
                <w:szCs w:val="18"/>
                <w:b w:val="1"/>
                <w:bCs w:val="1"/>
                <w:color w:val="auto"/>
              </w:rPr>
              <w:t>INTUITIVE SURGICAL, INC.</w:t>
            </w:r>
          </w:p>
        </w:tc>
        <w:tc>
          <w:tcPr>
            <w:tcW w:w="1200" w:type="dxa"/>
            <w:vAlign w:val="bottom"/>
          </w:tcPr>
          <w:p>
            <w:pPr>
              <w:spacing w:after="0"/>
              <w:rPr>
                <w:sz w:val="19"/>
                <w:szCs w:val="19"/>
                <w:color w:val="auto"/>
              </w:rPr>
            </w:pPr>
          </w:p>
        </w:tc>
      </w:tr>
      <w:tr>
        <w:trPr>
          <w:trHeight w:val="378"/>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6"/>
          </w:tcPr>
          <w:p>
            <w:pPr>
              <w:jc w:val="center"/>
              <w:ind w:right="4160"/>
              <w:spacing w:after="0"/>
              <w:rPr>
                <w:sz w:val="20"/>
                <w:szCs w:val="20"/>
                <w:color w:val="auto"/>
              </w:rPr>
            </w:pPr>
            <w:r>
              <w:rPr>
                <w:rFonts w:ascii="Arial" w:cs="Arial" w:eastAsia="Arial" w:hAnsi="Arial"/>
                <w:sz w:val="18"/>
                <w:szCs w:val="18"/>
                <w:b w:val="1"/>
                <w:bCs w:val="1"/>
                <w:color w:val="auto"/>
              </w:rPr>
              <w:t>INDEX</w:t>
            </w:r>
          </w:p>
        </w:tc>
        <w:tc>
          <w:tcPr>
            <w:tcW w:w="1200" w:type="dxa"/>
            <w:vAlign w:val="bottom"/>
          </w:tcPr>
          <w:p>
            <w:pPr>
              <w:spacing w:after="0"/>
              <w:rPr>
                <w:sz w:val="24"/>
                <w:szCs w:val="24"/>
                <w:color w:val="auto"/>
              </w:rPr>
            </w:pPr>
          </w:p>
        </w:tc>
      </w:tr>
      <w:tr>
        <w:trPr>
          <w:trHeight w:val="419"/>
        </w:trPr>
        <w:tc>
          <w:tcPr>
            <w:tcW w:w="1120" w:type="dxa"/>
            <w:vAlign w:val="bottom"/>
            <w:gridSpan w:val="2"/>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460" w:type="dxa"/>
            <w:vAlign w:val="bottom"/>
            <w:gridSpan w:val="20"/>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8200" w:type="dxa"/>
            <w:vAlign w:val="bottom"/>
            <w:gridSpan w:val="18"/>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10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7100" w:type="dxa"/>
            <w:vAlign w:val="bottom"/>
            <w:gridSpan w:val="1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Legal Proceedings</w:t>
              </w:r>
            </w:hyperlink>
          </w:p>
        </w:tc>
        <w:tc>
          <w:tcPr>
            <w:tcW w:w="7780" w:type="dxa"/>
            <w:vAlign w:val="bottom"/>
            <w:gridSpan w:val="16"/>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Submission of Matters to a Vote of Security Holders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1"/>
        </w:trPr>
        <w:tc>
          <w:tcPr>
            <w:tcW w:w="112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100" w:type="dxa"/>
            <w:vAlign w:val="bottom"/>
            <w:gridSpan w:val="21"/>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Market for the Registrant’s Common Equity, Related Stockholder Matters and Issuer Purchases of Equity Securities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40" w:type="dxa"/>
            <w:vAlign w:val="bottom"/>
            <w:tcBorders>
              <w:top w:val="single" w:sz="8" w:color="0000EE"/>
            </w:tcBorders>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Consolidated Financial Data</w:t>
              </w:r>
            </w:hyperlink>
          </w:p>
        </w:tc>
        <w:tc>
          <w:tcPr>
            <w:tcW w:w="9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1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2800" w:type="dxa"/>
            <w:vAlign w:val="bottom"/>
            <w:gridSpan w:val="4"/>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3"/>
          </w:tcPr>
          <w:p>
            <w:pPr>
              <w:spacing w:after="0"/>
              <w:rPr>
                <w:sz w:val="24"/>
                <w:szCs w:val="24"/>
                <w:color w:val="auto"/>
              </w:rPr>
            </w:pPr>
          </w:p>
        </w:tc>
        <w:tc>
          <w:tcPr>
            <w:tcW w:w="4840" w:type="dxa"/>
            <w:vAlign w:val="bottom"/>
            <w:gridSpan w:val="6"/>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10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83">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2"/>
          </w:tcPr>
          <w:p>
            <w:pPr>
              <w:spacing w:after="0"/>
              <w:rPr>
                <w:sz w:val="24"/>
                <w:szCs w:val="24"/>
                <w:color w:val="auto"/>
              </w:rPr>
            </w:pPr>
          </w:p>
        </w:tc>
        <w:tc>
          <w:tcPr>
            <w:tcW w:w="278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10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51"/>
        </w:trPr>
        <w:tc>
          <w:tcPr>
            <w:tcW w:w="1120" w:type="dxa"/>
            <w:vAlign w:val="bottom"/>
            <w:gridSpan w:val="2"/>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11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100" w:type="dxa"/>
            <w:vAlign w:val="bottom"/>
            <w:gridSpan w:val="2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Directors, Executive Officers and Corporate Governance</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4"/>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c>
          <w:tcPr>
            <w:tcW w:w="5100" w:type="dxa"/>
            <w:vAlign w:val="bottom"/>
            <w:gridSpan w:val="7"/>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100" w:type="dxa"/>
            <w:vAlign w:val="bottom"/>
            <w:gridSpan w:val="21"/>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3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Certain Relationships and Related Transactions and Directors Independence</w:t>
              </w:r>
            </w:hyperlink>
          </w:p>
        </w:tc>
        <w:tc>
          <w:tcPr>
            <w:tcW w:w="1760" w:type="dxa"/>
            <w:vAlign w:val="bottom"/>
            <w:tcBorders>
              <w:top w:val="single" w:sz="8" w:color="0000EE"/>
            </w:tcBorders>
            <w:gridSpan w:val="3"/>
          </w:tcPr>
          <w:p>
            <w:pPr>
              <w:spacing w:after="0"/>
              <w:rPr>
                <w:sz w:val="24"/>
                <w:szCs w:val="24"/>
                <w:color w:val="auto"/>
              </w:rPr>
            </w:pPr>
          </w:p>
        </w:tc>
        <w:tc>
          <w:tcPr>
            <w:tcW w:w="198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100" w:type="dxa"/>
            <w:vAlign w:val="bottom"/>
            <w:gridSpan w:val="2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Principal Accountant Fees and Services</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51"/>
        </w:trPr>
        <w:tc>
          <w:tcPr>
            <w:tcW w:w="112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11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100" w:type="dxa"/>
            <w:vAlign w:val="bottom"/>
            <w:gridSpan w:val="21"/>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Exhibits and Financial Statement Schedule</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12"/>
        </w:trPr>
        <w:tc>
          <w:tcPr>
            <w:tcW w:w="1120" w:type="dxa"/>
            <w:vAlign w:val="bottom"/>
            <w:gridSpan w:val="2"/>
          </w:tcPr>
          <w:p>
            <w:pPr>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i w:val="1"/>
          <w:iCs w:val="1"/>
          <w:color w:val="auto"/>
        </w:rPr>
        <w:t>This report contains “forward-looking statements” within the meaning of Section 27A of the Securities Act of 1933 and Section 21E of the Securities Exchange Act of 1934. Forward-looking statements relate to expectations concerning matters that are not historical facts. Words such as “projects,” “believes,” “anticipates,” “plans,” “expects,” “intends” and similar words and expressions are intended to identify forward-looking statements. These forward-looking statements include, but are not limited to, statements related to our expected business, new product introductions, results of operations, future financial position, our ability to increase our revenues, the mix of our revenues between product and service revenues, our financing plans and capital requirements, our costs of revenue, our expenses, our potential tax assets or liabilities, the effect of recent accounting pronouncements, our investments, cash flows and our ability to finance operations from cash flows and similar matters and include statements based on current expectations, estimates, forecasts and projections about the economies and markets in which we operate and our beliefs and assumptions regarding these economies and markets. Readers are cautioned that these forward-looking statements are based on current expectation and are subject to risks, uncertainties, and assumptions that are difficult to predict, including those risk factors described throughout this filing and particularly in Part I, “Item 1A: Risk Factors”. Our actual results may differ materially and adversely from those expressed in any forward-looking statements. We undertake no obligation to revise or update any forward-looking statements for any reason.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Intuitive Surgical, Inc. was founded in 1995. We are a Delaware corporation with our corporate headquarters located at 1266 Kifer Road, Sunnyvale,</w:t>
      </w:r>
    </w:p>
    <w:p>
      <w:pPr>
        <w:spacing w:after="0" w:line="33" w:lineRule="exact"/>
        <w:rPr>
          <w:sz w:val="20"/>
          <w:szCs w:val="20"/>
          <w:color w:val="auto"/>
        </w:rPr>
      </w:pPr>
    </w:p>
    <w:p>
      <w:pPr>
        <w:jc w:val="both"/>
        <w:ind w:right="60"/>
        <w:spacing w:after="0" w:line="220" w:lineRule="auto"/>
        <w:rPr>
          <w:sz w:val="20"/>
          <w:szCs w:val="20"/>
          <w:color w:val="auto"/>
        </w:rPr>
      </w:pPr>
      <w:r>
        <w:rPr>
          <w:rFonts w:ascii="Arial" w:cs="Arial" w:eastAsia="Arial" w:hAnsi="Arial"/>
          <w:sz w:val="18"/>
          <w:szCs w:val="18"/>
          <w:color w:val="auto"/>
        </w:rPr>
        <w:t xml:space="preserve">California 94086. Our telephone number is (408) 523-2100, and our website address is </w:t>
      </w:r>
      <w:r>
        <w:rPr>
          <w:rFonts w:ascii="Arial" w:cs="Arial" w:eastAsia="Arial" w:hAnsi="Arial"/>
          <w:sz w:val="18"/>
          <w:szCs w:val="18"/>
          <w:i w:val="1"/>
          <w:iCs w:val="1"/>
          <w:color w:val="auto"/>
        </w:rPr>
        <w:t>www.intuitivesurgical.com</w:t>
      </w:r>
      <w:r>
        <w:rPr>
          <w:rFonts w:ascii="Arial" w:cs="Arial" w:eastAsia="Arial" w:hAnsi="Arial"/>
          <w:sz w:val="18"/>
          <w:szCs w:val="18"/>
          <w:color w:val="auto"/>
        </w:rPr>
        <w:t>. In this report, “Intuitive Surgical,” “we,” “us,” and “our” refer to Intuitive Surgical, Inc. and its subsidiaries. Intuitive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da Vinci</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da Vinci</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TilePro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Solo Surgery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w:t>
      </w:r>
      <w:r>
        <w:rPr>
          <w:rFonts w:ascii="Arial" w:cs="Arial" w:eastAsia="Arial" w:hAnsi="Arial"/>
          <w:sz w:val="18"/>
          <w:szCs w:val="18"/>
          <w:i w:val="1"/>
          <w:iCs w:val="1"/>
          <w:color w:val="auto"/>
        </w:rPr>
        <w:t>EndoWrist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InSite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Navigator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are trademarks of Intuitive Surgical, Inc.</w:t>
      </w:r>
    </w:p>
    <w:p>
      <w:pPr>
        <w:spacing w:after="0" w:line="1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We design, manufacture and market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which are advanced surgical systems that we believe, represent a new generation of surgery. We believe that this new generation of surgery, which we call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is a revolutionary advancement similar in scope to previous generations of surgery —open surgery and minimally invasive surgery, or MIS.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consist of a surgeon’s console, a patient-side cart, a high performance vision system and proprietary “wristed” instruments and surgical accessories. By placing computer-enhanced technology between the surgeon and patient, we believe that our systems enable surgeons to perform advanced MIS in a manner never before experienced.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controls Intuitive Surgical endoscopic instruments, including rigid endoscopes, blunt and sharp endoscopic dissectors, scissors, scalpels, forceps/pickups, needle holders, endoscopic retractors, electrocautery, ultrasonic cutters, and accessories during a wide range of surgical procedures.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seamlessly translates the surgeon’s natural hand movements on instrument controls at the console into corresponding micro-movements of instruments positioned inside the patient through small puncture incisions, or ports.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provides the surgeon with the intuitive control, range of motion, fine tissue manipulation capability and 3-D vision characteristic of open surgery, while simultaneously allowing the surgeon to work through the small ports of MIS.</w:t>
      </w:r>
    </w:p>
    <w:p>
      <w:pPr>
        <w:spacing w:after="0" w:line="12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In March 1997, surgeons using an early prototype of our technology successfully performed the first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on humans. In the second quarter of 1999, we began selling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products and services outside the United States. In July 2000, we obtained clearance from the U.S. Food and Drug Administration (FDA) to market our products in the United States for use in general laparoscopic procedures.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clearances from the FDA to date:</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July 2000—General laparoscopic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March 2001—Non-cardiac thoracoscopic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May 2001—Prostatectomy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November 2002—Cardiotomy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July 2004—Cardiac revascularization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March 2005—Urologic surgical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April 2005—Gynecologic surgical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June 2005—Pediatric surgical procedures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March 2008 we received clearance to market our system-held cardiac stabilizer and permission to remove the warning in our labeling regarding system use in non-arrested heart procedures.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As of December 31, 2008, we had an installed base of 1,111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During the year ended December 31, 2008 surgeons using our technology had successfully completed approximately 136,000 surgical procedures of various types in major hospitals throughout North America, South America, Europe, the Middle East, Australia and Asia. Out of those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procedures performed in 2008, approximately 73,000 procedures were prostatectomies (dVPs) and approximately 34,000 procedures were hysterectomies (dVHs).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Open surgery remains the predominant form of surgery and is still used in almost every area of the body. However, the large incisions required for open surgery create trauma to the patient, resulting in longer hospitalization and recovery times, increased hospitalization costs, and additional pain and suffering. Over the past two decades, MIS has reduced trauma to the patient by allowing selected surgeries to be performed through small ports rather than large incisions, often resulting in shorter recovery times, fewer complications and reduced hospitalization costs. MIS has been widely adopted for certain surgical procedures, but it has not been widely adopted within complex surgical procedures.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enables surgeons to overcome many of the shortcomings of both open surgery and MIS. Surgeons operate while seated comfortably at a console viewing a high resolution, 3-D image of the surgical field. This immersive visualization connects the surgeon to the surgical field and the instruments. While seated at the console, the surgeon manipulates instrument controls in a natural manner, just as he or she has been trained to do in open surgery. Our technology is designed to provide surgeons with a range of motion in the surgical field analogous to the motions of a human wrist, while filtering out the tremor inherent in a surgeon’s hand. In designing our products, we have focused on making our technology as simple as possible to use. In our experience, based on hundreds of thousands of procedures, surgeons can learn to manipulate our instruments with only a limited amount of training as compared to the training required for a surgeon to become skilled in MIS and can learn to perform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with less training than is required for MIS.</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Our products are designed to make a broad range of open surgical and MIS procedures suitable for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is designed to enable surgeons to improve surgical outcomes while providing patients with the benefits of MIS. We believe that these advantages have begun to facilitate a fundamental change in surgery.</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operate our business as one segment as defined by generally accepted accounting principles. Our financial results for the three years ended December 31, 2008 are discussed in “Item 7. Management’s Discussion and Analysis of Financial Condition and Results of Operations” and “Item 8. Financial Statements and Supplementary Data” of this Annual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Generation Surgery—</w:t>
      </w:r>
      <w:r>
        <w:rPr>
          <w:rFonts w:ascii="Arial" w:cs="Arial" w:eastAsia="Arial" w:hAnsi="Arial"/>
          <w:sz w:val="18"/>
          <w:szCs w:val="18"/>
          <w:b w:val="1"/>
          <w:bCs w:val="1"/>
          <w:i w:val="1"/>
          <w:iCs w:val="1"/>
          <w:color w:val="auto"/>
        </w:rPr>
        <w:t>da Vinci</w:t>
      </w:r>
      <w:r>
        <w:rPr>
          <w:rFonts w:ascii="Arial" w:cs="Arial" w:eastAsia="Arial" w:hAnsi="Arial"/>
          <w:sz w:val="18"/>
          <w:szCs w:val="18"/>
          <w:b w:val="1"/>
          <w:bCs w:val="1"/>
          <w:color w:val="auto"/>
        </w:rPr>
        <w:t xml:space="preserve"> Surgery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is designed to provide the surgeon with the intuitive control, range of motion, fine tissue manipulation capability and 3-D vision characteristic of open surgery while simultaneously allowing the surgeon to work through the small ports of MIS. All this is accomplished in an intuitive manner, in the same way that the movements of a surgeon’s hands in open surgery are entirely intuitive.</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da Vinci S</w:t>
      </w:r>
      <w:r>
        <w:rPr>
          <w:rFonts w:ascii="Arial" w:cs="Arial" w:eastAsia="Arial" w:hAnsi="Arial"/>
          <w:sz w:val="15"/>
          <w:szCs w:val="15"/>
          <w:color w:val="auto"/>
        </w:rPr>
        <w:t xml:space="preserve"> Surgical System, which was introduced in January 2006, shares some of the same core technology as the standard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In addition, the </w:t>
      </w:r>
      <w:r>
        <w:rPr>
          <w:rFonts w:ascii="Arial" w:cs="Arial" w:eastAsia="Arial" w:hAnsi="Arial"/>
          <w:sz w:val="15"/>
          <w:szCs w:val="15"/>
          <w:i w:val="1"/>
          <w:iCs w:val="1"/>
          <w:color w:val="auto"/>
        </w:rPr>
        <w:t>da Vinci S</w:t>
      </w:r>
      <w:r>
        <w:rPr>
          <w:rFonts w:ascii="Arial" w:cs="Arial" w:eastAsia="Arial" w:hAnsi="Arial"/>
          <w:sz w:val="15"/>
          <w:szCs w:val="15"/>
          <w:color w:val="auto"/>
        </w:rPr>
        <w:t xml:space="preserve"> Surgical System features a motorized patient cart for easy setup and docking. A single fiber optic cable connects the patient cart to the surgeon’s console. Instrument attachment and exchange is now faster with a quick-click cannula and a single-use sterile adapter. The robotic arms have greater range of motion and the </w:t>
      </w:r>
      <w:r>
        <w:rPr>
          <w:rFonts w:ascii="Arial" w:cs="Arial" w:eastAsia="Arial" w:hAnsi="Arial"/>
          <w:sz w:val="15"/>
          <w:szCs w:val="15"/>
          <w:i w:val="1"/>
          <w:iCs w:val="1"/>
          <w:color w:val="auto"/>
        </w:rPr>
        <w:t>EndoWrist</w:t>
      </w:r>
      <w:r>
        <w:rPr>
          <w:rFonts w:ascii="Arial" w:cs="Arial" w:eastAsia="Arial" w:hAnsi="Arial"/>
          <w:sz w:val="15"/>
          <w:szCs w:val="15"/>
          <w:color w:val="auto"/>
        </w:rPr>
        <w:t xml:space="preserve"> instruments are two inches longer, which together facilitate multiquadrant access. The </w:t>
      </w:r>
      <w:r>
        <w:rPr>
          <w:rFonts w:ascii="Arial" w:cs="Arial" w:eastAsia="Arial" w:hAnsi="Arial"/>
          <w:sz w:val="15"/>
          <w:szCs w:val="15"/>
          <w:i w:val="1"/>
          <w:iCs w:val="1"/>
          <w:color w:val="auto"/>
        </w:rPr>
        <w:t>da Vinci S</w:t>
      </w:r>
      <w:r>
        <w:rPr>
          <w:rFonts w:ascii="Arial" w:cs="Arial" w:eastAsia="Arial" w:hAnsi="Arial"/>
          <w:sz w:val="15"/>
          <w:szCs w:val="15"/>
          <w:color w:val="auto"/>
        </w:rPr>
        <w:t xml:space="preserve"> Surgical System also has a feature called </w:t>
      </w:r>
      <w:r>
        <w:rPr>
          <w:rFonts w:ascii="Arial" w:cs="Arial" w:eastAsia="Arial" w:hAnsi="Arial"/>
          <w:sz w:val="15"/>
          <w:szCs w:val="15"/>
          <w:i w:val="1"/>
          <w:iCs w:val="1"/>
          <w:color w:val="auto"/>
        </w:rPr>
        <w:t>TilePro</w:t>
      </w:r>
      <w:r>
        <w:rPr>
          <w:rFonts w:ascii="Arial" w:cs="Arial" w:eastAsia="Arial" w:hAnsi="Arial"/>
          <w:sz w:val="15"/>
          <w:szCs w:val="15"/>
          <w:color w:val="auto"/>
        </w:rPr>
        <w:t>, which is designed to allow surgeons to import and view a variety of video images without leaving the surgeon’s console.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technology overcomes many of the limitations of existing MIS tools and techniques in the following ways:</w:t>
      </w:r>
    </w:p>
    <w:p>
      <w:pPr>
        <w:spacing w:after="0" w:line="90" w:lineRule="exact"/>
        <w:rPr>
          <w:sz w:val="20"/>
          <w:szCs w:val="20"/>
          <w:color w:val="auto"/>
        </w:rPr>
      </w:pPr>
    </w:p>
    <w:p>
      <w:pPr>
        <w:ind w:left="900" w:right="60" w:hanging="446"/>
        <w:spacing w:after="0" w:line="25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Intuitive Instrument Movements. </w:t>
      </w:r>
      <w:r>
        <w:rPr>
          <w:rFonts w:ascii="Arial" w:cs="Arial" w:eastAsia="Arial" w:hAnsi="Arial"/>
          <w:sz w:val="18"/>
          <w:szCs w:val="18"/>
          <w:color w:val="auto"/>
        </w:rPr>
        <w:t>Our technology is designed to directly transform the surgeon’s natural hand movements outside the body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corresponding micro-movements inside the patient’s body. For example, with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 hand movement to the right outside the body causes the instrument inside the patient to be moved to the right. In contrast, conventional MIS instruments are essentially long rigid levers that rotate around a fulcrum, or pivot point, located at the port created in the body wall. In conventional MIS, the instrument tip moves in the opposite direction from the surgeon’s hand and surgeons must adjust their hand-eye coordination to translate their hand movements in this “backward” environment.</w:t>
      </w:r>
    </w:p>
    <w:p>
      <w:pPr>
        <w:spacing w:after="0" w:line="63" w:lineRule="exact"/>
        <w:rPr>
          <w:rFonts w:ascii="Arial" w:cs="Arial" w:eastAsia="Arial" w:hAnsi="Arial"/>
          <w:sz w:val="18"/>
          <w:szCs w:val="18"/>
          <w:color w:val="auto"/>
        </w:rPr>
      </w:pPr>
    </w:p>
    <w:p>
      <w:pPr>
        <w:ind w:left="900" w:right="40" w:hanging="446"/>
        <w:spacing w:after="0" w:line="290"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EndoWrist Instruments Provide Natural Dexterity and Range of Motion. </w:t>
      </w:r>
      <w:r>
        <w:rPr>
          <w:rFonts w:ascii="Arial" w:cs="Arial" w:eastAsia="Arial" w:hAnsi="Arial"/>
          <w:sz w:val="16"/>
          <w:szCs w:val="16"/>
          <w:color w:val="auto"/>
        </w:rPr>
        <w:t>Our technology is designed to provide surgeons with a range of motion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surgical field analogous to the motions of a human hand and wrist. Our proprietary instruments, which we call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incorporate “wrist” joints that enable surgeons to reach behind tissues and suture with precision, just as they can in open surgery. The surgeon controls the instrument movements from the surgeon’s console using natural hand and wrist movements.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joints are located near the tips of all of our instruments. Conventional MIS instruments provide surgeons less flexibility, dexterity and range of motion than their own hands provide in open surgical procedures. For example, MIS instruments in widespread use today do not have joints near their tips, and cannot replicate a surgeon’s hand and wrist movements to perform manipulations, such as reaching behind tissue, suturing and fine dissection.</w:t>
      </w:r>
    </w:p>
    <w:p>
      <w:pPr>
        <w:spacing w:after="0" w:line="37"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More Precise Movements and Reduced Tremor. </w:t>
      </w:r>
      <w:r>
        <w:rPr>
          <w:rFonts w:ascii="Arial" w:cs="Arial" w:eastAsia="Arial" w:hAnsi="Arial"/>
          <w:sz w:val="18"/>
          <w:szCs w:val="18"/>
          <w:color w:val="auto"/>
        </w:rPr>
        <w:t>With our technology, the surgeon can also use “motion scaling”, a feature that translates, for example,</w:t>
      </w:r>
      <w:r>
        <w:rPr>
          <w:rFonts w:ascii="Arial" w:cs="Arial" w:eastAsia="Arial" w:hAnsi="Arial"/>
          <w:sz w:val="18"/>
          <w:szCs w:val="18"/>
          <w:i w:val="1"/>
          <w:iCs w:val="1"/>
          <w:color w:val="auto"/>
        </w:rPr>
        <w:t xml:space="preserve"> </w:t>
      </w:r>
      <w:r>
        <w:rPr>
          <w:rFonts w:ascii="Arial" w:cs="Arial" w:eastAsia="Arial" w:hAnsi="Arial"/>
          <w:sz w:val="18"/>
          <w:szCs w:val="18"/>
          <w:color w:val="auto"/>
        </w:rPr>
        <w:t>a three-millimeter hand movement outside the patient’s body into a one-millimeter instrument movement in the surgical field inside the patient’s body. Motion scaling is designed to allow greater precision than is normally achievable in either open surgery or MIS. In addition, our technology is designed to filter out the tremor inherent in a surgeon’s hands.</w:t>
      </w:r>
    </w:p>
    <w:p>
      <w:pPr>
        <w:spacing w:after="0" w:line="62"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Immersive 3-D Visualization. </w:t>
      </w:r>
      <w:r>
        <w:rPr>
          <w:rFonts w:ascii="Arial" w:cs="Arial" w:eastAsia="Arial" w:hAnsi="Arial"/>
          <w:sz w:val="16"/>
          <w:szCs w:val="16"/>
          <w:color w:val="auto"/>
        </w:rPr>
        <w:t>Our vision system, which we call the</w:t>
      </w:r>
      <w:r>
        <w:rPr>
          <w:rFonts w:ascii="Arial" w:cs="Arial" w:eastAsia="Arial" w:hAnsi="Arial"/>
          <w:sz w:val="16"/>
          <w:szCs w:val="16"/>
          <w:i w:val="1"/>
          <w:iCs w:val="1"/>
          <w:color w:val="auto"/>
        </w:rPr>
        <w:t xml:space="preserve"> InSite </w:t>
      </w:r>
      <w:r>
        <w:rPr>
          <w:rFonts w:ascii="Arial" w:cs="Arial" w:eastAsia="Arial" w:hAnsi="Arial"/>
          <w:sz w:val="16"/>
          <w:szCs w:val="16"/>
          <w:color w:val="auto"/>
        </w:rPr>
        <w:t>vision system, is designed to give surgeons the perception that their hands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are immersed in the surgical field even though they are outside the patient’s body. As a result, we believe that surgeons no longer feel disconnected from the surgical field and the instruments, as they currently do with MIS. In addition, we believe that the </w:t>
      </w:r>
      <w:r>
        <w:rPr>
          <w:rFonts w:ascii="Arial" w:cs="Arial" w:eastAsia="Arial" w:hAnsi="Arial"/>
          <w:sz w:val="16"/>
          <w:szCs w:val="16"/>
          <w:i w:val="1"/>
          <w:iCs w:val="1"/>
          <w:color w:val="auto"/>
        </w:rPr>
        <w:t>InSite</w:t>
      </w:r>
      <w:r>
        <w:rPr>
          <w:rFonts w:ascii="Arial" w:cs="Arial" w:eastAsia="Arial" w:hAnsi="Arial"/>
          <w:sz w:val="16"/>
          <w:szCs w:val="16"/>
          <w:color w:val="auto"/>
        </w:rPr>
        <w:t xml:space="preserve"> system provides a brighter and sharper image than any other 3-D endoscope vision system currently available. The </w:t>
      </w:r>
      <w:r>
        <w:rPr>
          <w:rFonts w:ascii="Arial" w:cs="Arial" w:eastAsia="Arial" w:hAnsi="Arial"/>
          <w:sz w:val="16"/>
          <w:szCs w:val="16"/>
          <w:i w:val="1"/>
          <w:iCs w:val="1"/>
          <w:color w:val="auto"/>
        </w:rPr>
        <w:t>InSite</w:t>
      </w:r>
      <w:r>
        <w:rPr>
          <w:rFonts w:ascii="Arial" w:cs="Arial" w:eastAsia="Arial" w:hAnsi="Arial"/>
          <w:sz w:val="16"/>
          <w:szCs w:val="16"/>
          <w:color w:val="auto"/>
        </w:rPr>
        <w:t xml:space="preserve"> system also incorporates our proprietary </w:t>
      </w:r>
      <w:r>
        <w:rPr>
          <w:rFonts w:ascii="Arial" w:cs="Arial" w:eastAsia="Arial" w:hAnsi="Arial"/>
          <w:sz w:val="16"/>
          <w:szCs w:val="16"/>
          <w:i w:val="1"/>
          <w:iCs w:val="1"/>
          <w:color w:val="auto"/>
        </w:rPr>
        <w:t>Navigator</w:t>
      </w:r>
      <w:r>
        <w:rPr>
          <w:rFonts w:ascii="Arial" w:cs="Arial" w:eastAsia="Arial" w:hAnsi="Arial"/>
          <w:sz w:val="16"/>
          <w:szCs w:val="16"/>
          <w:color w:val="auto"/>
        </w:rPr>
        <w:t xml:space="preserve"> camera control technology that allows the surgeon to easily change, move, zoom and rotate his or her field of vision. The combination of these features offers what we believe is the most advanced surgical vision system available today.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Teachable and Repeatable. </w:t>
      </w:r>
      <w:r>
        <w:rPr>
          <w:rFonts w:ascii="Arial" w:cs="Arial" w:eastAsia="Arial" w:hAnsi="Arial"/>
          <w:sz w:val="16"/>
          <w:szCs w:val="16"/>
          <w:color w:val="auto"/>
        </w:rPr>
        <w:t>We have designed our products to make them as simple as possible to use, even though the underlying technology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inherently complex. We believe that tissue manipulations using our products are as natural as hand movements in open surgery. In our experience, based on feedback from surgeons who have performed thousands of procedures, surgeons can learn to manipulate our instruments with less training as compared to the training required for the surgeon to become skilled in MIS. The time required to learn to perform surgical procedures using the </w:t>
      </w:r>
      <w:r>
        <w:rPr>
          <w:rFonts w:ascii="Arial" w:cs="Arial" w:eastAsia="Arial" w:hAnsi="Arial"/>
          <w:sz w:val="16"/>
          <w:szCs w:val="16"/>
          <w:i w:val="1"/>
          <w:iCs w:val="1"/>
          <w:color w:val="auto"/>
        </w:rPr>
        <w:t>da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Vinci </w:t>
      </w:r>
      <w:r>
        <w:rPr>
          <w:rFonts w:ascii="Arial" w:cs="Arial" w:eastAsia="Arial" w:hAnsi="Arial"/>
          <w:sz w:val="16"/>
          <w:szCs w:val="16"/>
          <w:color w:val="auto"/>
        </w:rPr>
        <w:t>Surgical System varies depending on the complexity of the procedure and the surgical team’s experience with MIS techniques.</w:t>
      </w:r>
    </w:p>
    <w:p>
      <w:pPr>
        <w:spacing w:after="0" w:line="34"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Multi-Specialty Surgical Platform. </w:t>
      </w:r>
      <w:r>
        <w:rPr>
          <w:rFonts w:ascii="Arial" w:cs="Arial" w:eastAsia="Arial" w:hAnsi="Arial"/>
          <w:sz w:val="16"/>
          <w:szCs w:val="16"/>
          <w:color w:val="auto"/>
        </w:rPr>
        <w:t>The</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Surgical System is designed to enable surgeons to perform a wide range of surgical procedures.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date, we believe surgeons have used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 perform nearly 100 different types of surgical procedures.</w:t>
      </w:r>
    </w:p>
    <w:p>
      <w:pPr>
        <w:spacing w:after="0" w:line="8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believe that these advantages provide the patient with benefits of reduced trauma while restoring to the surgeon the range of motion and fine tissue control consistent with open surgery, along with further enhancements such as tremor reduction, motion scaling and superior visualization.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technology has the potential to change surgical procedures in two basic ways:</w:t>
      </w:r>
    </w:p>
    <w:p>
      <w:pPr>
        <w:spacing w:after="0" w:line="90" w:lineRule="exact"/>
        <w:rPr>
          <w:sz w:val="20"/>
          <w:szCs w:val="20"/>
          <w:color w:val="auto"/>
        </w:rPr>
      </w:pPr>
    </w:p>
    <w:p>
      <w:pPr>
        <w:ind w:left="900" w:right="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Convert a large percentage of open procedures to da Vinci Surgery</w:t>
      </w:r>
      <w:r>
        <w:rPr>
          <w:rFonts w:ascii="Arial" w:cs="Arial" w:eastAsia="Arial" w:hAnsi="Arial"/>
          <w:sz w:val="18"/>
          <w:szCs w:val="18"/>
          <w:color w:val="auto"/>
        </w:rPr>
        <w:t>. We believe that our technology has the potential to convert a large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open procedures which are traditionally performed through large incisions to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w:t>
      </w:r>
    </w:p>
    <w:p>
      <w:pPr>
        <w:spacing w:after="0" w:line="50"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Facilitate Difficult MIS Operations. </w:t>
      </w:r>
      <w:r>
        <w:rPr>
          <w:rFonts w:ascii="Arial" w:cs="Arial" w:eastAsia="Arial" w:hAnsi="Arial"/>
          <w:sz w:val="18"/>
          <w:szCs w:val="18"/>
          <w:color w:val="auto"/>
        </w:rPr>
        <w:t>We believe that several surgical procedures that today are performed only rarely using MIS techniques can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performed routinely and with confidence using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surgery. Some procedures have been adapted for MIS techniques but are extremely difficult and are currently performed by a limited number of highly skilled surgeons. We believe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will enable more surgeons at more institutions to perform these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Intuitive Surgical’s Products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principal products include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and a variety of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and accessories.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 Vinci Surgical System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is comprised of the following components:</w:t>
      </w:r>
    </w:p>
    <w:p>
      <w:pPr>
        <w:spacing w:after="0" w:line="90" w:lineRule="exact"/>
        <w:rPr>
          <w:sz w:val="20"/>
          <w:szCs w:val="20"/>
          <w:color w:val="auto"/>
        </w:rPr>
      </w:pPr>
    </w:p>
    <w:p>
      <w:pPr>
        <w:ind w:left="900" w:right="240" w:hanging="446"/>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Surgeon’s Console. </w:t>
      </w:r>
      <w:r>
        <w:rPr>
          <w:rFonts w:ascii="Arial" w:cs="Arial" w:eastAsia="Arial" w:hAnsi="Arial"/>
          <w:sz w:val="18"/>
          <w:szCs w:val="18"/>
          <w:color w:val="auto"/>
        </w:rPr>
        <w:t>The</w:t>
      </w:r>
      <w:r>
        <w:rPr>
          <w:rFonts w:ascii="Arial" w:cs="Arial" w:eastAsia="Arial" w:hAnsi="Arial"/>
          <w:sz w:val="18"/>
          <w:szCs w:val="18"/>
          <w:i w:val="1"/>
          <w:iCs w:val="1"/>
          <w:color w:val="auto"/>
        </w:rPr>
        <w:t xml:space="preserve"> da Vinci </w:t>
      </w:r>
      <w:r>
        <w:rPr>
          <w:rFonts w:ascii="Arial" w:cs="Arial" w:eastAsia="Arial" w:hAnsi="Arial"/>
          <w:sz w:val="18"/>
          <w:szCs w:val="18"/>
          <w:color w:val="auto"/>
        </w:rPr>
        <w:t>Surgical System allows the surgeon to operate while comfortably seated at an ergonomic console viewing a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dimensional, or 3-D, image of the surgical field. The surgeon’s fingers grasp the instrument controls below the display with hands naturally positioned relative to his or her eyes. Using electronic hardware, software, algorithms, mechanics and optics, our technology is designed to seamlessly translate the surgeon’s hand movements into precise and corresponding real-time micro movements of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positioned inside the patient.</w:t>
      </w:r>
    </w:p>
    <w:p>
      <w:pPr>
        <w:spacing w:after="0" w:line="61"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Patient-Side Cart. </w:t>
      </w:r>
      <w:r>
        <w:rPr>
          <w:rFonts w:ascii="Arial" w:cs="Arial" w:eastAsia="Arial" w:hAnsi="Arial"/>
          <w:sz w:val="16"/>
          <w:szCs w:val="16"/>
          <w:color w:val="auto"/>
        </w:rPr>
        <w:t>The patient-side cart, which can be easily moved next to the operating table, holds electromechanical arms that manipulate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instruments inside the patient. Up to four arms attached to the cart can be easily positioned as appropriate, and then locked into place. The first two arms, one representing the left hand and one representing the right hand of the surgeon, hold our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The third arm positions the endoscope, allowing the surgeon to easily move, zoom and rotate his or her field of vision. The fourth arm option provides additional surgical capabilities by holding an additional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 as well as potentially reducing the need for an assistant surgeon. The surgeon has a choice of simultaneously controlling any two of the operating arms by tapping a foot pedal underneath the surgeon’s console. The fourth arm is available as an option on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and can be added as an upgrade to existing three-arm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Surgical Systems.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90"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3-D Vision System</w:t>
      </w:r>
      <w:r>
        <w:rPr>
          <w:rFonts w:ascii="Arial" w:cs="Arial" w:eastAsia="Arial" w:hAnsi="Arial"/>
          <w:sz w:val="16"/>
          <w:szCs w:val="16"/>
          <w:color w:val="auto"/>
        </w:rPr>
        <w:t>. Our vision system includes our</w:t>
      </w:r>
      <w:r>
        <w:rPr>
          <w:rFonts w:ascii="Arial" w:cs="Arial" w:eastAsia="Arial" w:hAnsi="Arial"/>
          <w:sz w:val="16"/>
          <w:szCs w:val="16"/>
          <w:i w:val="1"/>
          <w:iCs w:val="1"/>
          <w:color w:val="auto"/>
        </w:rPr>
        <w:t xml:space="preserve"> InSite </w:t>
      </w:r>
      <w:r>
        <w:rPr>
          <w:rFonts w:ascii="Arial" w:cs="Arial" w:eastAsia="Arial" w:hAnsi="Arial"/>
          <w:sz w:val="16"/>
          <w:szCs w:val="16"/>
          <w:color w:val="auto"/>
        </w:rPr>
        <w:t>3-D endoscope with two separate vision channels linked to two separate color monitors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along with high performance video cameras and specialized edge enhancement and noise reduction equipment. The resulting 3-D image has high resolution and contrast and no flicker or cross fading, which sometimes occurs in single monitor systems, and minimizes eye fatigue. Our high definition (HD) vision system provides 20% more viewing area and enhances visualization of tissue planes and critical anatomy compared with our standard vision system. The digital zoom feature in the 3-D HD vision system allows surgeons to magnify the surgical field of view without adjusting endoscope position and reduces interference between the endoscope and instruments. The 3-D HD vision is available as an option on new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Surgical Systems and as an upgrade option to our existing customers who own a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Surgical System.</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EndoWrist Instruments, Accessories and Vision Components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We manufacture a variety of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each of which incorporates wrist joints for natural dexterity, with tips customized for various surgical procedures.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are approximately five or eight millimeters in diameter. The instruments mount onto the electromechanical arms that represent the surgeon’s left and right hands and provide the mechanical capability necessary for performing complex tissue manipulations through ports. At their tips, the various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include forceps, scissors, electrocautery, scalpels and other surgical tools that are familiar to the surgeon from open surgery and MIS. Generally, a variety of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are selected and used interchangeably during a surgery. Where instrument tips need to incorporate a disposable component, such as scalpel blades, we sell disposable inserts. We plan to continue to add new types of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for additional types of surgical procedures.</w:t>
      </w:r>
    </w:p>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are multiple-use because they are sterilizable and reusable for a defined number of procedures. A programmed memory chip inside each instrument performs several functions that help determine how the system and instruments work together. When an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 is attached to an arm of the patient-side cart, the chip performs an “electronic handshake” that ensures the instrument was manufactured by us and communicates the type and function of the instrument and number of past uses. For example, the chip distinguishes between scissors and a scalpel and controls the unique functions of different instruments as appropriate. In addition, the chip will not allow the instrument to be used for more than the prescribed number of procedures so that its performance meets specifications during each procedure.</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We also sell various vision and accessory products, which are used in conjunction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as surgical procedures are performed. Accessory products include sterile drapes used to protect the sterile field during surgery, vision products such as replacement 3-D stereo endoscopes, camera heads, light guides, and other miscellaneous items. During the second quarter of 2008, we launched a smaller diameter (8.5 mm) 3-D endoscope specifically targeted for pediatric surgery and benign gynecological procedures where incision size is an important consideration.</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During the third quarter of 2008, we launched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Grasping Retractor.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Grasping Retractor is a multi-functional 8 mm instrument to facilitate soft tissue management. The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Grasping Retractor is designed with the primary intent of providing an atraumatic, large profile, multi-functional instrument for grasping and retracting abdominal viscera and peritoneal tissue in a totally endoscopic environment, in order to obtain the necessary exposure during pelvic and abdominal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Using the </w:t>
      </w:r>
      <w:r>
        <w:rPr>
          <w:rFonts w:ascii="Arial" w:cs="Arial" w:eastAsia="Arial" w:hAnsi="Arial"/>
          <w:sz w:val="18"/>
          <w:szCs w:val="18"/>
          <w:b w:val="1"/>
          <w:bCs w:val="1"/>
          <w:i w:val="1"/>
          <w:iCs w:val="1"/>
          <w:color w:val="auto"/>
        </w:rPr>
        <w:t>da Vinci</w:t>
      </w:r>
      <w:r>
        <w:rPr>
          <w:rFonts w:ascii="Arial" w:cs="Arial" w:eastAsia="Arial" w:hAnsi="Arial"/>
          <w:sz w:val="18"/>
          <w:szCs w:val="18"/>
          <w:b w:val="1"/>
          <w:bCs w:val="1"/>
          <w:color w:val="auto"/>
        </w:rPr>
        <w:t xml:space="preserve"> Surgical System</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During a procedure, the patient-side cart is positioned next to the operating table with the electromechanical arms arranged to provide access to the initial ports selected by the surgeon. Once the ports have been placed by the surgeon, the arms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are positioned and the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are introduced into the patient’s body. The surgeon then performs the procedure while sitting comfortably 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surgeon’s console, manipulating the instrument controls and viewing the operation through our high performance 3-D vision system. When a surgeon needs to change an instrument, as is done many times during an operation, the instrument is withdrawn from the surgical field using the controls at the console, in similar fashion to the way a surgeon withdraws instruments from the patient in MIS. A scrub nurse standing near the patient removes the instrument from the electromechanical arm and replaces it with another instrument, in a process designed to be rapid enough not to disturb the natural flow of the procedure. As a result, the scrub nurse plays a role similar to that played in open surgery and MIS. At the conclusion of the operation, the small port incisions are closed with either suture or band-aids.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 xml:space="preserve">Our goal is to establish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surgery as the standard approach for complex surgical procedures, displacing both open surgical technique and standard MIS within this segment. We intend to accomplish this objective both by pioneering new types of endoscopic surgery and by making existing MIS procedures easier, safer and more cost-effective than the alternative methods. Our strategy is to broaden the number of procedures performed using the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and to educate surgeons, hospitals and patients as to the benefits of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surgery. Key elements of our strategy include the following:</w:t>
      </w:r>
    </w:p>
    <w:p>
      <w:pPr>
        <w:spacing w:after="0" w:line="17" w:lineRule="exact"/>
        <w:rPr>
          <w:sz w:val="20"/>
          <w:szCs w:val="20"/>
          <w:color w:val="auto"/>
        </w:rPr>
      </w:pPr>
    </w:p>
    <w:p>
      <w:pPr>
        <w:ind w:left="900" w:hanging="446"/>
        <w:spacing w:after="0" w:line="314"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Focus on Key Procedures. </w:t>
      </w:r>
      <w:r>
        <w:rPr>
          <w:rFonts w:ascii="Arial" w:cs="Arial" w:eastAsia="Arial" w:hAnsi="Arial"/>
          <w:sz w:val="15"/>
          <w:szCs w:val="15"/>
          <w:color w:val="auto"/>
        </w:rPr>
        <w:t>Our procedure marketing efforts are primarily focused within four surgical specialties: urologic surgery, gynecologic</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surgery, cardiothoracic surgery, and general surgery. In 2008, the mix of procedures performed with the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among these four surgical specialties was largest within urology, followed by gynecology, cardiothoracic, and general surgery. The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is used to perform, among other procedures,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Prostatectomy,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Nephrectomy,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Cystectomy,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Pyeloplasty,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Hysterectomy, </w:t>
      </w:r>
      <w:r>
        <w:rPr>
          <w:rFonts w:ascii="Arial" w:cs="Arial" w:eastAsia="Arial" w:hAnsi="Arial"/>
          <w:sz w:val="15"/>
          <w:szCs w:val="15"/>
          <w:i w:val="1"/>
          <w:iCs w:val="1"/>
          <w:color w:val="auto"/>
        </w:rPr>
        <w:t xml:space="preserve">da Vinci </w:t>
      </w:r>
      <w:r>
        <w:rPr>
          <w:rFonts w:ascii="Arial" w:cs="Arial" w:eastAsia="Arial" w:hAnsi="Arial"/>
          <w:sz w:val="15"/>
          <w:szCs w:val="15"/>
          <w:color w:val="auto"/>
        </w:rPr>
        <w:t>Myomectomy,</w:t>
      </w:r>
      <w:r>
        <w:rPr>
          <w:rFonts w:ascii="Arial" w:cs="Arial" w:eastAsia="Arial" w:hAnsi="Arial"/>
          <w:sz w:val="15"/>
          <w:szCs w:val="15"/>
          <w:i w:val="1"/>
          <w:iCs w:val="1"/>
          <w:color w:val="auto"/>
        </w:rPr>
        <w:t xml:space="preserve"> da Vinci </w:t>
      </w:r>
      <w:r>
        <w:rPr>
          <w:rFonts w:ascii="Arial" w:cs="Arial" w:eastAsia="Arial" w:hAnsi="Arial"/>
          <w:sz w:val="15"/>
          <w:szCs w:val="15"/>
          <w:color w:val="auto"/>
        </w:rPr>
        <w:t>Sacral Colpopexy,</w:t>
      </w:r>
      <w:r>
        <w:rPr>
          <w:rFonts w:ascii="Arial" w:cs="Arial" w:eastAsia="Arial" w:hAnsi="Arial"/>
          <w:sz w:val="15"/>
          <w:szCs w:val="15"/>
          <w:i w:val="1"/>
          <w:iCs w:val="1"/>
          <w:color w:val="auto"/>
        </w:rPr>
        <w:t xml:space="preserve"> da Vinci </w:t>
      </w:r>
      <w:r>
        <w:rPr>
          <w:rFonts w:ascii="Arial" w:cs="Arial" w:eastAsia="Arial" w:hAnsi="Arial"/>
          <w:sz w:val="15"/>
          <w:szCs w:val="15"/>
          <w:color w:val="auto"/>
        </w:rPr>
        <w:t>Mitral Valve Repair,</w:t>
      </w:r>
      <w:r>
        <w:rPr>
          <w:rFonts w:ascii="Arial" w:cs="Arial" w:eastAsia="Arial" w:hAnsi="Arial"/>
          <w:sz w:val="15"/>
          <w:szCs w:val="15"/>
          <w:i w:val="1"/>
          <w:iCs w:val="1"/>
          <w:color w:val="auto"/>
        </w:rPr>
        <w:t xml:space="preserve"> da Vinci </w:t>
      </w:r>
      <w:r>
        <w:rPr>
          <w:rFonts w:ascii="Arial" w:cs="Arial" w:eastAsia="Arial" w:hAnsi="Arial"/>
          <w:sz w:val="15"/>
          <w:szCs w:val="15"/>
          <w:color w:val="auto"/>
        </w:rPr>
        <w:t>Revascularization, and</w:t>
      </w:r>
      <w:r>
        <w:rPr>
          <w:rFonts w:ascii="Arial" w:cs="Arial" w:eastAsia="Arial" w:hAnsi="Arial"/>
          <w:sz w:val="15"/>
          <w:szCs w:val="15"/>
          <w:i w:val="1"/>
          <w:iCs w:val="1"/>
          <w:color w:val="auto"/>
        </w:rPr>
        <w:t xml:space="preserve"> da Vinci </w:t>
      </w:r>
      <w:r>
        <w:rPr>
          <w:rFonts w:ascii="Arial" w:cs="Arial" w:eastAsia="Arial" w:hAnsi="Arial"/>
          <w:sz w:val="15"/>
          <w:szCs w:val="15"/>
          <w:color w:val="auto"/>
        </w:rPr>
        <w:t>Gastric Bypass. The</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of key procedures, which often are in parallel with our FDA clearances, has been a catalyst for the growth of our company.</w:t>
      </w:r>
    </w:p>
    <w:p>
      <w:pPr>
        <w:spacing w:after="0" w:line="23" w:lineRule="exact"/>
        <w:rPr>
          <w:rFonts w:ascii="Arial" w:cs="Arial" w:eastAsia="Arial" w:hAnsi="Arial"/>
          <w:sz w:val="15"/>
          <w:szCs w:val="15"/>
          <w:color w:val="auto"/>
        </w:rPr>
      </w:pPr>
    </w:p>
    <w:p>
      <w:pPr>
        <w:ind w:left="900" w:right="20" w:hanging="446"/>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Focus on Key Institutions. </w:t>
      </w:r>
      <w:r>
        <w:rPr>
          <w:rFonts w:ascii="Arial" w:cs="Arial" w:eastAsia="Arial" w:hAnsi="Arial"/>
          <w:sz w:val="16"/>
          <w:szCs w:val="16"/>
          <w:color w:val="auto"/>
        </w:rPr>
        <w:t>Our marketing efforts are focused within both academic and community hospitals. Following the initial placement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given hospital, we endeavor to expand the number of physicians who use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work with the hospitals and their surgeons to promote patient education as to the benefits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We believe that these efforts will result in increased usage per system, leading to higher volume sales of instruments and sales of additional systems at each hospital. In addition, we believe these efforts will benefit early-adopting hospitals by increasing their market share in the procedures and specialties that benefit from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We expect these efforts to increase demand for our products among competitive hospitals, surgeons and referring physicians.</w:t>
      </w:r>
    </w:p>
    <w:p>
      <w:pPr>
        <w:spacing w:after="0" w:line="39" w:lineRule="exact"/>
        <w:rPr>
          <w:rFonts w:ascii="Arial" w:cs="Arial" w:eastAsia="Arial" w:hAnsi="Arial"/>
          <w:sz w:val="16"/>
          <w:szCs w:val="16"/>
          <w:color w:val="auto"/>
        </w:rPr>
      </w:pPr>
    </w:p>
    <w:p>
      <w:pPr>
        <w:ind w:left="900" w:right="40" w:hanging="446"/>
        <w:spacing w:after="0" w:line="28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Focus on Leading Surgeons to Drive Rapid and Broad Adoption. </w:t>
      </w:r>
      <w:r>
        <w:rPr>
          <w:rFonts w:ascii="Arial" w:cs="Arial" w:eastAsia="Arial" w:hAnsi="Arial"/>
          <w:sz w:val="16"/>
          <w:szCs w:val="16"/>
          <w:color w:val="auto"/>
        </w:rPr>
        <w:t>We place significant emphasis on marketing the</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Surgical System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surgeons who are considered to be “thought leaders” in their institutions and fields. These surgeons typically perform complex surgical procedures that are rarely adaptable to MIS techniques. These surgeons tend to publish and report their clinical experiences in peer-reviewed forums. For example, cardiac procedures are among the most difficult to perform using MIS techniques. This strategy puts surgeons at the forefront of procedure development and provides them an opportunity to maintain a competitive edge within their specialty. We believe that early adoption of our products by surgical thought leaders may provide other surgeons the confidence that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can be used for all types of surgical procedures. In addition to working with academic-based thought leaders, we work with community-based surgeons who are focused on expanding MIS within their community. We help them expand their clinical practice by offering their patients an increased number of minimally invasive procedures.</w:t>
      </w:r>
    </w:p>
    <w:p>
      <w:pPr>
        <w:spacing w:after="0" w:line="38" w:lineRule="exact"/>
        <w:rPr>
          <w:rFonts w:ascii="Arial" w:cs="Arial" w:eastAsia="Arial" w:hAnsi="Arial"/>
          <w:sz w:val="16"/>
          <w:szCs w:val="16"/>
          <w:color w:val="auto"/>
        </w:rPr>
      </w:pPr>
    </w:p>
    <w:p>
      <w:pPr>
        <w:ind w:left="900" w:right="34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Maintain Market Leadership. </w:t>
      </w:r>
      <w:r>
        <w:rPr>
          <w:rFonts w:ascii="Arial" w:cs="Arial" w:eastAsia="Arial" w:hAnsi="Arial"/>
          <w:sz w:val="18"/>
          <w:szCs w:val="18"/>
          <w:color w:val="auto"/>
        </w:rPr>
        <w:t>We intend to maintain our leadership advantage by continuing to develop and enhance our technology and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communicate the benefits of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to surgeons, hospitals and patients. We will continue to improve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through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40"/>
        <w:spacing w:after="0" w:line="268" w:lineRule="auto"/>
        <w:rPr>
          <w:sz w:val="20"/>
          <w:szCs w:val="20"/>
          <w:color w:val="auto"/>
        </w:rPr>
      </w:pPr>
      <w:r>
        <w:rPr>
          <w:rFonts w:ascii="Arial" w:cs="Arial" w:eastAsia="Arial" w:hAnsi="Arial"/>
          <w:sz w:val="18"/>
          <w:szCs w:val="18"/>
          <w:color w:val="auto"/>
        </w:rPr>
        <w:t>software and hardware enhancements and by developing new surgical instruments. We will also continue to develop our surgical platform to facilitate and support future surgical innovations.</w:t>
      </w:r>
    </w:p>
    <w:p>
      <w:pPr>
        <w:spacing w:after="0" w:line="64" w:lineRule="exact"/>
        <w:rPr>
          <w:sz w:val="20"/>
          <w:szCs w:val="20"/>
          <w:color w:val="auto"/>
        </w:rPr>
      </w:pPr>
    </w:p>
    <w:p>
      <w:pPr>
        <w:ind w:left="900" w:right="140" w:hanging="446"/>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Develop Industry Alliances. </w:t>
      </w:r>
      <w:r>
        <w:rPr>
          <w:rFonts w:ascii="Arial" w:cs="Arial" w:eastAsia="Arial" w:hAnsi="Arial"/>
          <w:sz w:val="16"/>
          <w:szCs w:val="16"/>
          <w:color w:val="auto"/>
        </w:rPr>
        <w:t>We intend to continue to establish strategic alliances with leading medical device companies. To date, these alliances</w:t>
      </w:r>
      <w:r>
        <w:rPr>
          <w:rFonts w:ascii="Arial" w:cs="Arial" w:eastAsia="Arial" w:hAnsi="Arial"/>
          <w:sz w:val="16"/>
          <w:szCs w:val="16"/>
          <w:i w:val="1"/>
          <w:iCs w:val="1"/>
          <w:color w:val="auto"/>
        </w:rPr>
        <w:t xml:space="preserve"> </w:t>
      </w:r>
      <w:r>
        <w:rPr>
          <w:rFonts w:ascii="Arial" w:cs="Arial" w:eastAsia="Arial" w:hAnsi="Arial"/>
          <w:sz w:val="16"/>
          <w:szCs w:val="16"/>
          <w:color w:val="auto"/>
        </w:rPr>
        <w:t>have taken several forms, including cooperation in the areas of product development, training, and procedure development and marketing activities. We have formed alliances with several companies, including Gyrus ACMI, Johnson &amp; Johnson, Johns Hopkins University, Novadaq Technologies, Inc, Olympus Corporation, Power Medical Inc., SurgiQuest, Inc. and USGI Medical, Inc.</w:t>
      </w:r>
    </w:p>
    <w:p>
      <w:pPr>
        <w:spacing w:after="0" w:line="31"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Increase Patient Awareness</w:t>
      </w:r>
      <w:r>
        <w:rPr>
          <w:rFonts w:ascii="Arial" w:cs="Arial" w:eastAsia="Arial" w:hAnsi="Arial"/>
          <w:sz w:val="18"/>
          <w:szCs w:val="18"/>
          <w:color w:val="auto"/>
        </w:rPr>
        <w:t>. Patients and family members of patients are researching their healthcare decisions more than ever before. The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has become a tremendous resource for patients who face multiple choices concerning their surgical treatment options. We intend to expand our use of the internet as a way to disseminate information on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System and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related surgical procedure options to patients and healthcare providers.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lead the development and commercialization of robotic technology designed to extend the benefits of MIS to the broadest possible base of surgical patients. Our products can provide surgeons with the clinical and technical capabilities of traditional open surgery while enabling them to operate through tiny incisions.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enables physicians to perform surgery in a manner never before experienced.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seamlessly translates the surgeon’s hand movements at the console instrument controls into corresponding micro-movements of instruments positioned inside the patient. The </w:t>
      </w:r>
      <w:r>
        <w:rPr>
          <w:rFonts w:ascii="Arial" w:cs="Arial" w:eastAsia="Arial" w:hAnsi="Arial"/>
          <w:sz w:val="16"/>
          <w:szCs w:val="16"/>
          <w:i w:val="1"/>
          <w:iCs w:val="1"/>
          <w:color w:val="auto"/>
        </w:rPr>
        <w:t xml:space="preserve">da Vinci </w:t>
      </w:r>
      <w:r>
        <w:rPr>
          <w:rFonts w:ascii="Arial" w:cs="Arial" w:eastAsia="Arial" w:hAnsi="Arial"/>
          <w:sz w:val="16"/>
          <w:szCs w:val="16"/>
          <w:color w:val="auto"/>
        </w:rPr>
        <w:t>Surgical System can provide the surgeon with improved visualization, dexterity, and precision compared with MIS surgery, while enabling operation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 0.5 – 1.5 centimeter incisions. The features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are further described below.</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Superior Visualization</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True-to-life 3-D or 3-D HD vision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Bright, crisp image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Immersive view of the surgical field</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provides visualization of the target anatomy with natural depth-of-field, enhanced contrast and magnification for more accurate tissue identification and tissue layer differentiation.</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Improved visualization also enables surgeons to perform delicate tissue handling and dissection with added precision—even in confined spaces. This precision may allow the surgeon to avoid trauma to surrounding structures and tissues such as the neurovascular bundle located near the prostate.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Enhanced Dexterity, Precision and Control</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Fingertip control of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Seven degrees of freedom—±90 degrees of articulation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Motion scaling and tremor reduction</w:t>
      </w:r>
    </w:p>
    <w:p>
      <w:pPr>
        <w:spacing w:after="0" w:line="17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tremor reduction, motion scaling and proprietary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instrumentation enhance ambidexterity for greater surgical precision and surgeon control. Enhanced control and intuitive motion enables more widespread use of advanced techniques, as well as a reduced learning curve when compared to the traditional MIS techniques. Added instrument range-of-motion enhances access and safety while operating in the confined space of the closed chest, abdomen or pelvis. This enables surgeons to more easily perform complex surgical maneuvers through small ports, eliminating the need for large, traumatic incisions.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Superior Ergonomics</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Optimal alignment of visual and motor 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Comfortable seated posture</w:t>
      </w:r>
    </w:p>
    <w:p>
      <w:pPr>
        <w:spacing w:after="0" w:line="171" w:lineRule="exact"/>
        <w:rPr>
          <w:sz w:val="20"/>
          <w:szCs w:val="20"/>
          <w:color w:val="auto"/>
        </w:rPr>
      </w:pPr>
    </w:p>
    <w:p>
      <w:pPr>
        <w:ind w:right="1280" w:firstLine="456"/>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is designed to allow surgeons to operate while seated, which is not only more comfortable, but also may be clinically advantageous due to reduced surgeon fatigue.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design allows natural hand-eye alignment at the surgeon’s console, which provides improved ergonomics over traditional laparoscopic technology. Since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robotic arms hold the camera and instruments steady, there is also potentially reduced abdominal wall torque, less surgeon assistance required and reduced surgeon fatigue.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Image Processing</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vision system includes a 3-D endoscope with two independent vision channels linked to two separate color monitors. The system also incorporates image-processing equipment comprised of high-performance video cameras, specialized edge enhancement and noise reduction equipment. The resulting 3-D image is bright, crisp and clear, with no flicker or cross-fading as with single monitor systems.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Visual Continuity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Camera control, provided through the hand controls and foot pedals, provides near-seamless transition between views. Surgeons can reposition the surgical camera in an instant with foot controls or zoom in, out, up, down, left and right by moving their hands in the desired direction. Repositioning of the surgeon’s head at the console does not affect image quality as with other 3-D display systems.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Fourth Arm</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patient-side cart holds up to four electromechanical arms which hold the 3-D endoscope and manipulate the instruments inside the patient. The first two arms, representing the surgeon’s left and right hands, hold the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A third arm positions the endoscope, allowing the surgeon to easily change, move, zoom and rotate his or her field of vision from the console. This mobility eliminates the need for an assistant to hold the camera steady. The optional fourth arm extends surgical capabilities by enabling the surgeon to add a third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 and perform additional tasks like applying counter traction and following running sutures. The surgeon can simultaneously control any two of the operating arms by tapping a foot pedal underneath the surgeon’s console. The instruments and camera attach easily to the arms, and are repositioned by either the console surgeon or patient-side assistant. The fourth arm is available as an option on new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and can be added as an upgrade to existing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Applications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We believe our technology is capable of enhancing or enabling a wide variety of procedures in many surgical specialties. Surgeons using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have successfully completed hundreds of thousands of surgical procedures of various types, including urologic, gynecologic, cardiothoracic, and general surgery. These surgical applications, which are currently cleared by the FDA, are further described below.</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Urologic Surgery</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Prostatectomy. </w:t>
      </w:r>
      <w:r>
        <w:rPr>
          <w:rFonts w:ascii="Arial" w:cs="Arial" w:eastAsia="Arial" w:hAnsi="Arial"/>
          <w:sz w:val="18"/>
          <w:szCs w:val="18"/>
          <w:color w:val="auto"/>
        </w:rPr>
        <w:t>Radical prostatectomy is the removal of the prostate gland in patients diagnosed with clinically localized prostatic cancer. The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removal of the prostate has been via an open surgical procedure. The laparoscopic approach, while not prevalent, is an option, but is difficult and 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challenges to even the most skilled urologist.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allows for improved visualization of the gross anatomy (dorsal veins, endopelvic fascia, bladder muscle, puboprostatic ligaments), microanatomy (bladder muscosa, nerve bundles) and tissue planes, which are critical for an anatomic dissection. Peer-reviewed clinical publications have reported that radical prostatectomy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has improved positive oncologic results, reduced operative blood loss, reduced postoperative pain, improved cosmesis and may provide a better nerve-sparing operation.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has enabled a large number of surgeons to convert from using an open surgical technique to a minimally invasive technique.</w:t>
      </w:r>
    </w:p>
    <w:p>
      <w:pPr>
        <w:spacing w:after="0" w:line="11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i w:val="1"/>
          <w:iCs w:val="1"/>
          <w:color w:val="auto"/>
        </w:rPr>
        <w:t xml:space="preserve">Partial Nephrectomy &amp; Nephrectomy. </w:t>
      </w:r>
      <w:r>
        <w:rPr>
          <w:rFonts w:ascii="Arial" w:cs="Arial" w:eastAsia="Arial" w:hAnsi="Arial"/>
          <w:sz w:val="16"/>
          <w:szCs w:val="16"/>
          <w:color w:val="auto"/>
        </w:rPr>
        <w:t>Partial Nephrectomy is the subtotal removal of a kidney and Nephrectomy is the total removal of a kidney. Partial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Nephrectomies are most commonly performed in patients diagnosed with clinically localized renal cancer, when the tumor size is four cm or less in size. Nephrectomies are also most commonly performed in patients diagnosed with clinically localized renal cancer and also performed in patients suffering from various benign conditions. There are currently three surgical approaches to performing partial nephrectomies; Open Surgical Technique, which requires a large incision, Laparoscopy, which allows the surgeon to operate through several small punctures, and Hand Assisted, which incorporates both Laparoscopy and a modified Open Surgical Technique. Surgeons have reported that the combination of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improved visualization capabilities and enhanced dexterity allows for greater precision and control during these complex surgical procedures, which could enable a large number of these procedures to be performed through this minimally invasive technique.</w:t>
      </w:r>
    </w:p>
    <w:p>
      <w:pPr>
        <w:spacing w:after="0" w:line="118"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i w:val="1"/>
          <w:iCs w:val="1"/>
          <w:color w:val="auto"/>
        </w:rPr>
        <w:t>Cystectomy</w:t>
      </w:r>
      <w:r>
        <w:rPr>
          <w:rFonts w:ascii="Arial" w:cs="Arial" w:eastAsia="Arial" w:hAnsi="Arial"/>
          <w:sz w:val="16"/>
          <w:szCs w:val="16"/>
          <w:color w:val="auto"/>
        </w:rPr>
        <w:t>. Cystectomy is the removal of the bladder in patients diagnosed with bladder cancer. The current standard approach to the removal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bladder is via an open surgical procedure. The laparoscopic approach, while not prevalent, is an option, but is difficult and poses challenges to even the most skilled urologist.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allows for improved visualization of the gross anatomy and tissue planes, which are critical for an anatomic dissection.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has enabled a number of these procedures to be converted from an open surgical technique to a minimally invasive technique, thus reducing blood loss and pain, allowing for the patient’s quicker return to normal activity.</w:t>
      </w:r>
    </w:p>
    <w:p>
      <w:pPr>
        <w:spacing w:after="0" w:line="116"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i w:val="1"/>
          <w:iCs w:val="1"/>
          <w:color w:val="auto"/>
        </w:rPr>
        <w:t xml:space="preserve">Pyeloplasty. </w:t>
      </w:r>
      <w:r>
        <w:rPr>
          <w:rFonts w:ascii="Arial" w:cs="Arial" w:eastAsia="Arial" w:hAnsi="Arial"/>
          <w:sz w:val="18"/>
          <w:szCs w:val="18"/>
          <w:color w:val="auto"/>
        </w:rPr>
        <w:t>Pyeloplasty is the surgical reconstruction or revision of the renal pelvis to drain and decompress the kidney. In nearly all cases, the goal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pyeloplasty surgery is to relieve a uretero-pelvic junction (UPJ) obstruction. There are currently two surgical approaches to performing pyeloplasties; Open Surgical Technique, which requires a large incision, and Laparoscopy, which allows the surgeon to operate through several small punctures. Surgeons have reported that the combination of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improved visualization capabilities and enhanced dexterity allows for greater precision and control during these complex surgical procedures, which could enable a large number of these procedures to be performed through this minimally invasive technique.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Gynecologic Surgery</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Hysterectomy. </w:t>
      </w:r>
      <w:r>
        <w:rPr>
          <w:rFonts w:ascii="Arial" w:cs="Arial" w:eastAsia="Arial" w:hAnsi="Arial"/>
          <w:sz w:val="16"/>
          <w:szCs w:val="16"/>
          <w:color w:val="auto"/>
        </w:rPr>
        <w:t>Removal of the uterus is one of the most commonly performed surgeries in gynecology and is preformed for a variety of benign and</w:t>
      </w:r>
      <w:r>
        <w:rPr>
          <w:rFonts w:ascii="Arial" w:cs="Arial" w:eastAsia="Arial" w:hAnsi="Arial"/>
          <w:sz w:val="16"/>
          <w:szCs w:val="16"/>
          <w:i w:val="1"/>
          <w:iCs w:val="1"/>
          <w:color w:val="auto"/>
        </w:rPr>
        <w:t xml:space="preserve"> </w:t>
      </w:r>
      <w:r>
        <w:rPr>
          <w:rFonts w:ascii="Arial" w:cs="Arial" w:eastAsia="Arial" w:hAnsi="Arial"/>
          <w:sz w:val="16"/>
          <w:szCs w:val="16"/>
          <w:color w:val="auto"/>
        </w:rPr>
        <w:t>malignant conditions. Hysterectomies can be performed using open surgery, a vaginal approach, or MIS techniques. It demands a significant degree of tissue manipulation in the dissection and ligation, or tying, of blood vessels, ligaments and other pelvic structures. Laparoscopic techniques used in this procedure increase the risk of injury to the ureters, which are vital structures that provide the conduit for urine between the kidney and bladder. It is often difficult to ensure the identification and prevention of injury to the ureters and bladder with conventional MIS instruments because of the limited angles at which these instruments can be positioned. Furthermore, in hysterectomy procedures for treating endometrial or cervical cancer, it is difficult to access and remove a large number of lymph nodes to better stage the cancer. We are currently focused on the population of patients that would traditionally have a hysterectomy through an open surgical technique, for a “complex-benign” or a malignant clinical condition. We believe that our products will increase the surgeon’s dexterity in this procedure and, as a result, may have a significant impact on safety, operating time, and rate of adoption of port-based techniques in hysterectomy.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Myomectomy. </w:t>
      </w:r>
      <w:r>
        <w:rPr>
          <w:rFonts w:ascii="Arial" w:cs="Arial" w:eastAsia="Arial" w:hAnsi="Arial"/>
          <w:sz w:val="16"/>
          <w:szCs w:val="16"/>
          <w:color w:val="auto"/>
        </w:rPr>
        <w:t>Myomectomy, or removal of a myoma/fibroid, is a surgical procedure performed when uterine preservation is sought. Women who desire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remain fertile are candidates for this procedure. Due to the excessive suturing required for this procedure, the standard surgical approach remains an open incision. There are some highly skilled gynecological laparoscopists who perform laparoscopic myomectomies, but to this point, it has remained a small minority. We believe that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will enable many of these open myomectomies to be performed minimally invasively.</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Sacral Colpopexy. </w:t>
      </w:r>
      <w:r>
        <w:rPr>
          <w:rFonts w:ascii="Arial" w:cs="Arial" w:eastAsia="Arial" w:hAnsi="Arial"/>
          <w:sz w:val="18"/>
          <w:szCs w:val="18"/>
          <w:color w:val="auto"/>
        </w:rPr>
        <w:t>The abdominal Sacral Colpopexy is one of the most successful operations for vaginal vault prolapse. Sacral Colpopexy involves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suturing a synthetic mesh that connects and supports the vagina to the sacrum (tailbone). A sacral colpopexy can also be performed using traditional laparoscopic technique, it is however, generally described as difficult and cumbersome to perform.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Sacral Colpopexy combines the benefits of a minimally invasive procedure with the durability of a traditional abdominal approach.</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Cardiothoracic Surgery</w:t>
      </w:r>
    </w:p>
    <w:p>
      <w:pPr>
        <w:spacing w:after="0" w:line="9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5"/>
          <w:szCs w:val="15"/>
          <w:i w:val="1"/>
          <w:iCs w:val="1"/>
          <w:color w:val="auto"/>
        </w:rPr>
        <w:t xml:space="preserve">Mitral Valve Repair. </w:t>
      </w:r>
      <w:r>
        <w:rPr>
          <w:rFonts w:ascii="Arial" w:cs="Arial" w:eastAsia="Arial" w:hAnsi="Arial"/>
          <w:sz w:val="15"/>
          <w:szCs w:val="15"/>
          <w:color w:val="auto"/>
        </w:rPr>
        <w:t>When patients are diagnosed with mitral valve disease, there are two surgical treatment options from which they can choose: mitral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valve replacement or mitral valve repair. Mitral valve repairs are generally preferred over mitral valve replacement for a number of reasons, which include longevity and durability of the repaired valve over a replacement valve and the elimination or reduction of the patient’s post-surgical pharmaceutical regimen. Since mitral valve repairs are considered to be more technically challenging than mitral valve replacements, they are only performed approximately 50% of the time. When performing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mitral valve repairs, surgeons have reported that the enhanced 3-D visualization provides for essential identification of difficult to see anatomical structures and tissue planes. </w:t>
      </w:r>
      <w:r>
        <w:rPr>
          <w:rFonts w:ascii="Arial" w:cs="Arial" w:eastAsia="Arial" w:hAnsi="Arial"/>
          <w:sz w:val="15"/>
          <w:szCs w:val="15"/>
          <w:i w:val="1"/>
          <w:iCs w:val="1"/>
          <w:color w:val="auto"/>
        </w:rPr>
        <w:t>EndoWrist</w:t>
      </w:r>
      <w:r>
        <w:rPr>
          <w:rFonts w:ascii="Arial" w:cs="Arial" w:eastAsia="Arial" w:hAnsi="Arial"/>
          <w:sz w:val="15"/>
          <w:szCs w:val="15"/>
          <w:color w:val="auto"/>
        </w:rPr>
        <w:t xml:space="preserve"> joints permit them to precisely manipulate delicate structures inside of the heart and accurately place sutures into the targeted tissues. In addition, surgeons using the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to operate from a lateral right-sided approach have reported that this requires less tissue manipulation than operating through a sternotomy, while providing greater anatomical exposure. As a result of these factors, several of our surgeon customers have reported a significant shift in favor of mitral valve repairs over mitral valve replacements within their practices. Our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is enabling heart valve repairs to be performed through small ports in a manner that could not have been accomplished with open surgery.</w:t>
      </w:r>
    </w:p>
    <w:p>
      <w:pPr>
        <w:spacing w:after="0" w:line="10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Cardiac Revascularization or Coronary Artery Bypass. </w:t>
      </w:r>
      <w:r>
        <w:rPr>
          <w:rFonts w:ascii="Arial" w:cs="Arial" w:eastAsia="Arial" w:hAnsi="Arial"/>
          <w:sz w:val="16"/>
          <w:szCs w:val="16"/>
          <w:color w:val="auto"/>
        </w:rPr>
        <w:t>The traditional approach to coronary artery bypass grafting, or CABG, involves splitting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breastbone via a median sternotomy incision, placing the patient on cardio pulmonary bypass, or CPB, and “bypassing” diseased segments of arteries in the heart with conduit arteries and veins. Over time, successful results from this operation have been widely reported. However, there are known morbidities from this approach that MIS techniques for coronary artery bypass surgery seek to overcome. With assistance from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patients can undergo multi-vessel full surgical revascularization, while avoiding CPB and the median sternotomy incision, thus reducing the morbidities associated with these procedures. In Single-Vessel or Multi-Vessel Small Thoracotomy bypass, or SVST/MVST procedures, surgeons use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 precisely mobilize one or both internal mammary arteries for use in the bypass operation. This is accomplished through three small port incisions in the left chest and once completed, the middle port incision is extended into a four- to six- centimeter incision, enabling the surgeon to complete the anastomoses directly through the incision. In addition to reducing known morbidities from standard open-chest coronary artery bypass surgery, revascularization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sets a new standard in minimally invasive coronary artery bypass surgery by placing the patient on an accelerated path to recovery.</w:t>
      </w:r>
    </w:p>
    <w:p>
      <w:pPr>
        <w:spacing w:after="0" w:line="12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Thoracoscopy. </w:t>
      </w:r>
      <w:r>
        <w:rPr>
          <w:rFonts w:ascii="Arial" w:cs="Arial" w:eastAsia="Arial" w:hAnsi="Arial"/>
          <w:sz w:val="16"/>
          <w:szCs w:val="16"/>
          <w:color w:val="auto"/>
        </w:rPr>
        <w:t>A number of procedures performed in the thorax, or chest cavity, can be accomplished by minimally invasive methods. These methods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referred to as thoracoscopic procedures. They include various types of lung resection, biopsy procedures, node dissections, nerve resections and esophageal surgery. Conventional thoracoscopic tools have all the limitations of conventional laparoscopic tools, such as “backward”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counter-intuitive movement and limited range of motion. We believe that the capability of our technology to operate dexterously in the small and restrictive space of the chest cavity offers significant clinical value in the performance of advanced thoracoscopic procedures.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Surgery</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Gastric Bypass. </w:t>
      </w:r>
      <w:r>
        <w:rPr>
          <w:rFonts w:ascii="Arial" w:cs="Arial" w:eastAsia="Arial" w:hAnsi="Arial"/>
          <w:sz w:val="16"/>
          <w:szCs w:val="16"/>
          <w:color w:val="auto"/>
        </w:rPr>
        <w:t>A growing number of patients are undergoing surgical treatment for their morbid obesity. Laparoscopic Roux-en-Y gastric bypass,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LRYGB, is the most commonly performed surgical procedure for morbid obesity in the United States. Briefly, the LRYGB operation promotes weight loss by two mechanisms. First, the size of the stomach is greatly reduced by surgical “stapling”, thus restricting the amount of food the patient can consume at a given time. Second, a long segment of intestine is bypassed causing less food to be absorbed. The LRYGB is arguably one of the most technically challenging laparoscopic procedures because of the suturing, stapling and tissue (bowel) manipulation that is required. A critical portion of the operation is anastomosing the stomach to the small intestine. Leaks in the anastomosis are the cause of major complications that can result in death.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is used by surgeons in suturing this anastomosis. We believe procedures performed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incorporating a double-layered hand-sewn anastomosis results in fewer anastomotic leaks than in traditional laparoscopic procedures.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Clinical Applications</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We believe there are numerous additional applications that can be addressed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Surgeons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have performed nearly 100 different types of surgery in the North America, South America, Europe, the Middle East, Australia, and Asia.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Customer Support</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We market our products through a direct sales force in the United States and parts of Europe. We also market our products outside the United States through distributors. Our direct sales force is comprised of sales managers, clinical sales representatives, training specialists, and technical service representatives. Sales activities include educating surgeons and hospital staff across multiple surgical specialties on the advantages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and the clinical applications that our technology enables. We also train our sales force to educate hospital management on the potential benefits of adopting our technology, including the potential for increased local market share that may result from offering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Once a hospital has installed a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our clinical sales representatives help drive the utilization of the system, and our technical service representatives provide service and maintenance for the system. No one customer accounted for more than 10% of revenue during the years ended December 31, 2008, 2007 and 2006.</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December 31, 2008, we had approximately 380 employees in our field sales and service organizations, up from approximately 260 employees in these organizations as of December 31, 2007. We expect to continue growing these organizations as we expand our business.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typically has a lengthy sales cycle. It is viewed as a major capital equipment purchase by our customers and is often affected by the timing of their budgeting cycles. Our sales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tends to be heaviest during the third month of each quarter. We typically do not have a backlog of system orders because we are able to ship systems upon receipt of an order, and we are able to install systems on the same day as delivery. A portion of our customers acquire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through a capital lease or operating lease with a third-party leasing company. In these instances, we typically sell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System to the hospital or leasing company, and the hospital enters into an independent arrangement with the leasing company. Therefore we treat these leasing transactions the same as sales transactions for purposes of recognizing revenue for the sale. During the twelve months ended December 31, 2008, approximately 20% of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System sales involved a lease.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Our sales of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and accessories are driven by surgical procedures performed on installed systems. Our customers place orders to replenish their supply of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and accessories on a regular basis. Orders received are typically shipped within one business day. Direct customers who purchase a new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System typically place an initial stocking order of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and accessories within one week of receiving their system.</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Our business is subject to seasonal fluctuations. During our fiscal third quarter, which are the three months ending September 30 each year, many physicians, hospital administrators, and patients take vacation, and we tend to see a reduction in surgical procedures performed, particularly in Europe. During our fiscal fourth quarter, which are the three months ending December 31 each year, we tend to see our strongest performance in sales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However, during the fourth quarter of 2008, our sales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declined sequentially as capital spending in U.S. hospitals declined.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 Services and Support and Training Programs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goal is to provide exceptional value to our customers. We create value by understanding customer needs and building efficiency into everything we do. We have a network of field service engineers across the United States and Europe and maintain relationships with various distributors around the globe. This infrastructure of service and support specialists offer a full complement of services, including 24/7 support, installation, repair and maintenance for our customers.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generate service revenue by providing these services to our customers through comprehensive service contracts and select time and material programs.</w:t>
      </w:r>
    </w:p>
    <w:p>
      <w:pPr>
        <w:spacing w:after="0" w:line="206"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 xml:space="preserve">We provide system training to surgeons and nursing personnel. We have established training centers where initial system training and ongoing surgical procedural training are provided. In addition, we facilitate the proctoring of surgeons who are new to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Surgery by experienced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System users. Proctors are independent contractors who are paid to provide training to other surgeons on how to perform certain surgical procedures with the </w:t>
      </w:r>
      <w:r>
        <w:rPr>
          <w:rFonts w:ascii="Arial" w:cs="Arial" w:eastAsia="Arial" w:hAnsi="Arial"/>
          <w:sz w:val="15"/>
          <w:szCs w:val="15"/>
          <w:i w:val="1"/>
          <w:iCs w:val="1"/>
          <w:color w:val="auto"/>
        </w:rPr>
        <w:t>da Vinci</w:t>
      </w:r>
      <w:r>
        <w:rPr>
          <w:rFonts w:ascii="Arial" w:cs="Arial" w:eastAsia="Arial" w:hAnsi="Arial"/>
          <w:sz w:val="15"/>
          <w:szCs w:val="15"/>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focus our research and development efforts on providing our customers with new products and product improvements that enable them to perform new and better surgical procedures with less difficulty. Our research and development team includes experienced personnel in robotic technology. Our design engineers span a number of disciplines, including software engineering, systems analysis and electrical and mechanical engineering. In addition, we have engineers who specialize in vision technology. Finally, we have a manufacturing engineering group that continues to improve the manufacturability and quality of our products. We incurred $79.4 million, $48.9 million and $29.8 million of research and development expenses for the years ended December 31, 2008, 2007 and 2006,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We manufacture our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at our manufacturing facility in Sunnyvale, California. We manufacture our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at our Sunnyvale manufacturing facility and at our Mexicali, Mexico facility. We began production in Mexicali in July 2008.</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purchase both custom and off-the-shelf components from a large number of certified suppliers and subject them to stringent quality specifications. We periodically conduct quality audits of suppliers and have established a supplier certification program. Some of the components necessary for the assembly of our products are currently provided to us by sole-sourced suppliers (the only recognized supply source available to us) or single-sourced suppliers (the only approved supply source for us among other sources). We purchase components through purchase orders rather than long-term supply agreements and generally do not maintain large volumes of finished goods.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 xml:space="preserve">We consider our primary competition to be existing open surgery, MIS, drug therapies, radiation treatment and emerging interventional surgical approaches. Our success depends in part on convincing hospitals, surgeons and patients that the demonstrated benefits associated with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surgery are superior to other techniques. We also face competition from several companies that are developing new approaches and products for the MIS market. Because many of these developments are aimed at MIS, we believe that our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may actually prove complementary to these new technologies.</w:t>
      </w:r>
    </w:p>
    <w:p>
      <w:pPr>
        <w:spacing w:after="0" w:line="9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a limited number of companies are using or planning to use robots and computers in surgery, including Hitachi Ltd., Prosurgics, Inc., and Toshiba, Inc. Any company with substantial experience in industrial robotics could potentially expand into the field of surgical robotics and become a competitor. Our revenues may be reduced or eliminated if our competitors develop and market products that are more effective or less expensive than our products.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the primary competitive factors in the market we address are capability, safety, efficacy, ease of use, price, quality, reliability, and effective sales, support, training and service. The length of time required for products to be developed and to receive regulatory and reimbursement approval is also an important competitive factor.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place considerable importance on obtaining and maintaining patent, copyright and trade secret protection for significant new technologies, products and processes, because of the length of time and expense associated with bringing new products through the development process and to the marketplace.</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generally rely upon a combination of patents, copyrights, trademarks, trade secret and other laws (e.g., contractual restrictions on disclosure, copying and transferring title, including confidentiality agreements with vendors, strategic partners, co-developers, employees, consultants and other third parties) to protect our proprietary rights in the developments, improvements and inventions that we have originated and which are incorporated in our products or that fall within our fields of interest. We also have agreements with third parties that provide for several exclusive and non-exclusive rights to their patents.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As of December 31, 2008, we held exclusive field-of-use as well as non-exclusive licenses for over 260 U.S. patents and over 165 foreign patents, and owned outright over 150 U.S. patents and over 60 foreign patents. We also own or have licensed numerous pending United States and foreign patent applications. Our patents and patent applications relate to a number of important aspects of our technology, including our surgeon’s console, electromechanical arms, vision system, endoscope positioning system and </w:t>
      </w:r>
      <w:r>
        <w:rPr>
          <w:rFonts w:ascii="Arial" w:cs="Arial" w:eastAsia="Arial" w:hAnsi="Arial"/>
          <w:sz w:val="18"/>
          <w:szCs w:val="18"/>
          <w:i w:val="1"/>
          <w:iCs w:val="1"/>
          <w:color w:val="auto"/>
        </w:rPr>
        <w:t>EndoWrist</w:t>
      </w:r>
      <w:r>
        <w:rPr>
          <w:rFonts w:ascii="Arial" w:cs="Arial" w:eastAsia="Arial" w:hAnsi="Arial"/>
          <w:sz w:val="18"/>
          <w:szCs w:val="18"/>
          <w:color w:val="auto"/>
        </w:rPr>
        <w:t xml:space="preserve"> instruments. We intend to continue to file additional patent applications both in the United States and in foreign jurisdictions to seek protection for our technology.</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While our patents are an important element of our success, our business as a whole is not significantly dependent on any one patent. We have trademarks, both registered and unregistered, that are maintained and enforced to provide customer recognition for our products in the marketplace.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States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products and operations are subject to extensive and rigorous regulation by the FDA. The FDA regulates the research, testing, manufacturing, safety, labeling, storage, recordkeeping, promotion, distribution, and production of medical devices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the Federal Food, Drug, and Cosmetic Act, or FFDCA, medical devices are classified into one of three classes—Class I, Class II or Class III— depending on the degree of risk associated with each medical device and the extent of control needed to ensure safety and effectiveness. Our current products are Class II medical devices.</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Class II devices are those which are subject to the general controls and most require premarket demonstration of adherence to certain performance standards or other special controls, as specified by the FDA, and clearance by the FDA. Premarket review and clearance by the FDA for these devices is accomplished through the 510(k) premarket notification process. For most Class II devices, the manufacturer must submit to the FDA a premarket notification submission, demonstrating that the device is “substantially equivalent” in intended use and technology to a “predicate device” that is either:</w:t>
      </w:r>
    </w:p>
    <w:p>
      <w:pPr>
        <w:spacing w:after="0" w:line="32" w:lineRule="exact"/>
        <w:rPr>
          <w:sz w:val="20"/>
          <w:szCs w:val="20"/>
          <w:color w:val="auto"/>
        </w:rPr>
      </w:pPr>
    </w:p>
    <w:p>
      <w:pPr>
        <w:ind w:left="900" w:right="5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device that has grandfather marketing status because it was legally marketed prior to May 28, 1976, the date upon which the Medical Device Amendments of 1976 were enacted,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Class I or II device that has been cleared through the 510(k) process.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FDA agrees that the device is substantially equivalent to a predicate device, it will grant clearance to commercially market the device. The FDA has a statutory 90-day period to respond to a 510(k) submission. As a practical matter, clearance often takes longer. The FDA may require further information, including clinical data, to make a determination regarding substantial equivalence. If the FDA determines that the device, or its intended use, is not “substantially equivalent,” the FDA will place the device, or the particular use of the device, into Class III, and the device sponsor must then fulfill much more rigorous pre-marketing requirements.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After a device receives 510(k) clearance, any modification that could significantly affect its safety or effectiveness, or that would constitute a major change in its intended use, requires a new 510(k) clearance or could require a pre-market approval application, or PMA, approval. The FDA requires each manufacturer to make this determination in the first instance, but the FDA can review any such decision. If the FDA disagrees with a manufacturer’s decision not to seek a new 510(k) clearance, the agency may retroactively require the manufacturer to seek 510(k) clearance or PMA approval. The FDA also can require the manufacturer to cease marketing and/or recall the modified device until 510(k) clearance or PMA approval is obtained.</w:t>
      </w:r>
    </w:p>
    <w:p>
      <w:pPr>
        <w:spacing w:after="0" w:line="116"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Our manufacturing processes are required to comply with the FDA’s Good Manufacturing Practice, or GMP, requirements contained in its Quality System Regulation, or QSR. The QSR covers, among other things, the methods and documentation of the design, testing, production, processes, controls, quality assurance, labeling, packaging, and shipping of a company’s products. The QSR also requires maintenance of a device master record, device history record, design history file and complaint files. Compliance with the QSR is necessary to receive FDA 510(k) clearance or approval to market new products and is necessary for a manufacturer to be able to continue to market cleared or approved product offerings. Among other things, these regulations require that manufacturers establish performance requirements before production. A company’s facility, records, and manufacturing processes are subject to periodic scheduled or unscheduled inspections by the FDA and may issue reports known as Form FDA 483 reports (listing instances where the manufacturer has failed to comply with applicable regulations and/or procedures), or Warning Letters which, if not adequately responded to, could lead to enforcement actions against the manufacturer, including fines and total shutdown of production facilities and criminal prosecution. Inspections usually occur every two years. Our last inspection occurred in April 2008 and issued a Form FDA 483 listing deficiencies under the QSR relating to complaint handling and supplier management. We believe our quality systems are functioning properly and we continue to work with FDA and agencies worldwide to satisfy their reporting requirements. We later responded to each observation with proposed corrective actions. However, we cannot assure that, upon re-inspection, the FDA will find that our corrective actions are appropriate or that they have been adequately implemented. We also cannot assure that the FDA will not find other deficiencies in our compliance with the QSR and other postmarket regulations.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Other post-market regulatory requirements apply to our commercial distribution of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including the following:</w:t>
      </w:r>
    </w:p>
    <w:p>
      <w:pPr>
        <w:spacing w:after="0" w:line="90" w:lineRule="exact"/>
        <w:rPr>
          <w:sz w:val="20"/>
          <w:szCs w:val="20"/>
          <w:color w:val="auto"/>
        </w:rPr>
      </w:pPr>
    </w:p>
    <w:p>
      <w:pPr>
        <w:ind w:left="900" w:right="4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System Regulation, or QSR, which requires manufacturers to follow elaborate design, testing, control, documentation and other quality assurance procedures during the manufacturing process;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general prohibition against promoting products for unapproved or “off label” uses;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Reports of Corrections and Removals regulation, which requires that manufacturers report to FDA recalls and field corrective actions taken to reduce a risk to health or to remedy a violation of the FFDCA that may pose a risk to health; and</w:t>
      </w:r>
    </w:p>
    <w:p>
      <w:pPr>
        <w:spacing w:after="0" w:line="50"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subject to inspection and marketing surveillance by the FDA to determine compliance with all regulatory requirements. If the FDA finds that we have failed to comply, it can institute a wide variety of enforcement actions, ranging from a public warning letter to more severe sanctions including the following:</w:t>
      </w:r>
    </w:p>
    <w:p>
      <w:pPr>
        <w:spacing w:after="0" w:line="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recall or seizure of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refusing our requests for 510(k) clearance or PMA approval of new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withdrawing 510(k) clearance or PMA approvals already granted;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Regulation</w:t>
      </w:r>
    </w:p>
    <w:p>
      <w:pPr>
        <w:spacing w:after="0" w:line="90"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The State of California requires that we obtain a license to manufacture medical devices and subjects us to periodic inspection. Our facilities and manufacturing processes were last inspected in 2003 when we received our State of California License to manufacture, which expires in December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order for us to market our products in other countries, we must obtain regulatory approvals and comply with extensive safety and quality regulations in other countries. These regulations, including the requirements for approvals or clearance and the time required for regulatory review, vary from country to country. Failure to obtain regulatory approval in any foreign country in which we plan to market our products may harm our ability to generate revenue and harm our business.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Commercialization of medical devices in Europe is regulated by the European Union (EU). The EU presently requires that all medical products bear the Conformite Europeene, or CE mark for compliance with the Medical Device Directive (93/42/EEC). The CE mark is an international symbol of adherence to certain essential principles of safety and effectiveness mandated in applicable European medical device directives, which once affixed, enables a product to be sold in member countries of the EU. The CE mark is also recognized in many countries outside of the EU, such as Australia, and can assist in the clearance process. In order to affix the CE mark on products, a recognized European Notified Body must certify a manufacturer’s quality system for compliance with international and European requirements. We have received permission from DGM, our Notified Body and agent of the Danish Government, to affix the CE mark to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To maintain authorization to apply the CE mark, we are subject to annual surveillance audits and periodic re-certification audits. To date we have met these requirements and our certificate is valid until December 2010.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modify existing products or develop new products in the future, we may need to apply for permission to affix the CE mark to such products. In addition, we are subject to annual regulatory audits in order to maintain the CE mark permissions already obtained. We do not know whether we will be able to obtain permission to affix the CE mark for new or modified products or whether we will continue to meet the quality and safety standards required to maintain the permissions we have already received. If we are unable to maintain permission to affix the CE mark to our products, we will no longer be able to sell our products in member countries of the European Union.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regulations in other countries, including the requirements for approvals or clearance and the time required for regulatory review, vary from country to country. These regulations typically require regulatory approvals, and compliance with extensive safety and quality system regulations. Failure to obtain regulatory approval in any foreign country in which we plan to market our products, or failure to comply with any regulation in any foreign country in which we market our products, may impact our ability to generate revenue and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Reimbursement</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United States and international markets where we sell our products, the government and health insurance companies together are responsible for hospital and surgeon reimbursement for virtually all surgical procedures. Governments and insurance companies generally reimburse hospitals and physicians for surgery when the procedures are considered medically necessary. In the United States, reimbursement for medical procedures under the Medicare and Medicaid programs is administered by Centers for Medicare &amp; Medicaid Services. Generally, procedure codes issued by the American Medical Association are copyrighted Current Procedural Terminology (“CPT”) codes. In addition, CMS issues ICD-9-CM codes, Diagnostic Related Groupings (“DRGs”), and Ambulatory Payment Classifications (“APCs”). If a new procedure CPT code and/or reimbursement designation is needed, an application would need to be submitted to the American Medical Association or CMS.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Governments and insurance companies carefully review and increasingly challenge the prices charged for medical products and surgical services. Reimbursement rates from private companies vary depending on the procedure performed, the third party involved, the insurance plan involved, and other factors. Medicare reimburses hospitals a prospectively determined fixed amount for both inpatient and outpatient surgical services, and reimburses physicians a prospectively determined fixed amount based on the professional service rendered. This fixed amount is paid regardless of the actual costs incurred by the hospital or physician in furnishing the care and is unrelated to the specific products used in that procedure. Thus, any reimbursements that hospitals obtain for performing surgery with our products will generally have to cover any additional costs that hospitals incur in purchasing our products.</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Domestic institutions typically bill for the primary surgical procedure that includes our products to various third-party payors, such as Medicare, Medicaid and other government programs and private insurance plans. Because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has been cleared for commercial distribution in the United States by the FDA, Medicare reimbursement is available for the primary surgical procedure that uses our device in cleared procedures and procedures conducted under an approved investigational device exemption application. We believe that the additional procedures we intend to target are established surgical procedures that are generally already reimbursable by government agencies and insurance companies. If hospitals do not obtain sufficient reimbursement from third-party payors for procedures performed with our products, or if governmental and private payors’ policies do not permit reimbursement for surgical procedures performed using our products, we may not be able to generate the revenues necessary to support our business. In such circumstances, we may need to seek a unique Current Procedural Terminology code for robotic-assisted surgery from the American Medical Association and/or a reimbursement adjustment from CMS. If an application for a unique code or modifier is required, reimbursement for any use of our products may be unavailable until an appropriate code is granted. The application process, from filing until adoption of a new code, can take two or more years.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countries outside the United States, reimbursement is obtained from various sources, including governmental authorities, private health insurance plans, and labor unions. In most foreign countries, private insurance systems may also offer payments for some therapies. Additionally, health maintenance organizations are emerging in certain European countries. To effectively conduct our business, we may need to seek international reimbursement approvals, and we do not know if these required approvals will be obtained in a timely manner or at all.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affect our ability to generate the revenues necessary to support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2008, we had 1,049 employees, 146 of whom were engaged directly in research and development, 364 in manufacturing and service and 539 in marketing, sales, and administrative activities. None of our employees are covered by a collective bargaining agreement, and we consider our relationship with our employees to be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make our periodic and current reports available, including our Annual Reports on Form 10-K, Quarterly Reports on Form 10-Q, Current Reports on Form 8-K and any amendments to those reports, free of charge, on our website as soon as practicable after such material is electronically filed or furnished with the Securities and Exchange Commission. Our website address is www.intuitivesurgical.com and the reports are filed under “SEC Filings”, on the Company— Investor Relations portion of our website. We periodically webcast company announcements, product launch events and executive presentations which can be viewed via our Investor Relations web site. Additionally, we provide notifications of our material news including SEC filings, investor events, and press releases as part of our Investor Relations web site. The contents of these web sites are not intended to be incorporated by reference into this report or in any other report or document we file and any references to these web sites are intended to be inactive textual references only.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8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OUR PRODUCTS DO NOT ACHIEVE MARKET ACCEPTANCE, WE WILL NOT BE ABLE TO GENERATE THE REVENUE NECESSARY TO SUPPORT OUR BUSINESS.</w:t>
      </w:r>
    </w:p>
    <w:p>
      <w:pPr>
        <w:spacing w:after="0" w:line="4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our other products represent a fundamentally new way of performing surgery. Achieving physician, patient and third-party payor acceptance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as a preferred method of performing surgery will be crucial to our success. If our products fail to achieve market acceptance, hospitals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surgical techniques. Even if we can prove the effectiveness of our products through clinical trials, surgeons may elect not to use our products for any number of other reasons. For example, cardiologists may continue to recommend conventional heart surgery simply because such surgery is already widely accepted. In addition, surgeons may be slow to adopt our products because of the perceived liability risks arising from the use of new products and the uncertainty of reimbursement from third-party payors.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that there will be a learning process involved for surgical teams to become proficient in the use of our products. Broad use of our products will require training of surgical teams. Market acceptance could be delayed by the time required to complete this training. We may not be able to rapidly train surgical teams in numbers sufficient to generate adequate demand for our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CONTINUE TO MATERIALLY ADVERSELY AFFECT THE COMPANY.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operations and performance depend significantly on worldwide economic conditions. Uncertainty about current global economic conditions pose a risk as customers may postpone spending in response to tighter credit and negative financial news, which could have a material negative effect on demand for our products. These and other economic factors have impacted our results and may continue to have a significant impact on our financial condition and operating results.</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current financial turmoil affecting the banking system and financial markets and the possibility that additional financial institutions may consolidate or go out of business has resulted in a tightening in the credit markets, a low level of liquidity in many financial markets, and extreme volatility in fixed income, credit, currency and equity markets. There could be a number of follow-on effects from the credit crisis on our business, including the insolvency of key suppliers or their inability to obtain credit to finance development and/or manufacture products resulting in product delays and inability of customers, including distributors, to obtain credit to finance purchases of our products. If conditions become more severe or continue longer than we anticipate, our forecasted demand may not materialize to the levels we require to achieve our anticipated financial results, which could in turn have a material adverse effect on our revenue, profitability and the market price of our stock.</w:t>
      </w:r>
    </w:p>
    <w:p>
      <w:pPr>
        <w:spacing w:after="0" w:line="222" w:lineRule="exact"/>
        <w:rPr>
          <w:sz w:val="20"/>
          <w:szCs w:val="20"/>
          <w:color w:val="auto"/>
        </w:rPr>
      </w:pPr>
    </w:p>
    <w:p>
      <w:pPr>
        <w:ind w:right="120"/>
        <w:spacing w:after="0" w:line="338" w:lineRule="auto"/>
        <w:rPr>
          <w:sz w:val="20"/>
          <w:szCs w:val="20"/>
          <w:color w:val="auto"/>
        </w:rPr>
      </w:pPr>
      <w:r>
        <w:rPr>
          <w:rFonts w:ascii="Arial" w:cs="Arial" w:eastAsia="Arial" w:hAnsi="Arial"/>
          <w:sz w:val="16"/>
          <w:szCs w:val="16"/>
          <w:b w:val="1"/>
          <w:bCs w:val="1"/>
          <w:color w:val="auto"/>
        </w:rPr>
        <w:t xml:space="preserve">BECAUSE OUR MARKETS ARE HIGHLY COMPETITIVE, CUSTOMERS MAY CHOOSE TO PURCHASE OUR COMPETITORS’ PRODUCTS OR MAY NOT ACCEPT </w:t>
      </w:r>
      <w:r>
        <w:rPr>
          <w:rFonts w:ascii="Arial" w:cs="Arial" w:eastAsia="Arial" w:hAnsi="Arial"/>
          <w:sz w:val="16"/>
          <w:szCs w:val="16"/>
          <w:b w:val="1"/>
          <w:bCs w:val="1"/>
          <w:i w:val="1"/>
          <w:iCs w:val="1"/>
          <w:color w:val="auto"/>
        </w:rPr>
        <w:t>DA VINCI</w:t>
      </w:r>
      <w:r>
        <w:rPr>
          <w:rFonts w:ascii="Arial" w:cs="Arial" w:eastAsia="Arial" w:hAnsi="Arial"/>
          <w:sz w:val="16"/>
          <w:szCs w:val="16"/>
          <w:b w:val="1"/>
          <w:bCs w:val="1"/>
          <w:color w:val="auto"/>
        </w:rPr>
        <w:t xml:space="preserve"> SURGERY, WHICH WOULD RESULT IN REDUCED REVENUE AND LOSS OF MARKET SHARE.</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da Vinci </w:t>
      </w:r>
      <w:r>
        <w:rPr>
          <w:rFonts w:ascii="Arial" w:cs="Arial" w:eastAsia="Arial" w:hAnsi="Arial"/>
          <w:sz w:val="18"/>
          <w:szCs w:val="18"/>
          <w:color w:val="auto"/>
        </w:rPr>
        <w:t>surgery is a new technology that competes with established and emerging treatment options in both disease management and reconstructive</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procedures. These competitive treatment options include traditional MIS, open surgery, interventional approaches, or pharmacological regimens. Some of these procedures are widely accepted in the medical community and in many cases have a long history of use. Technological advances could make such treatments more effective or less expensive than using our products, which could render our products obsolete or unmarketable. We cannot be certain that physicians will use our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products to replace or supplement established treatments or that our products will continue to be competitive with current or future technologies.</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we may face competition from companies that develop wristed, robotic or computer-assisted surgical systems and products in the future. Our revenues may be reduced or eliminated if our competitors develop and market products that are more effective or less expensive than our products. If we are unable to compete successfully, our revenues will suffer. We may not be able to maintain or improve our competitive position against current or potential competitors, especially those with greater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INTRODUCTIONS MAY ADVERSELY IMPACT OUR FINANCIAL RESULTS.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introduce new products with enhanced features and extended capabilities from time to time. Our products are subject to various regulatory processes, and we must obtain and maintain regulatory approvals in order to sell our new products. If a potential purchaser believes that we plan to introduce a new product in the near future or if a potential purchaser is located in a country where a new product that we have introduced has not yet received regulatory approval, planned purchases may be deferred or delayed. As a result, new product introductions may adversely impact our financial results.</w:t>
      </w:r>
    </w:p>
    <w:p>
      <w:pPr>
        <w:spacing w:after="0" w:line="188"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WE EXPERIENCE LONG AND VARIABLE SALES CYCLES, WHICH COULD HAVE A NEGATIVE IMPACT ON OUR RESULTS OF OPERATIONS FOR ANY GIVEN QUARTER.</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has a lengthy sales and purchase order cycle because it is a major capital item and generally requires the approval of senior management at purchasing institutions. Our sales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tend to be heaviest during the third month of each fiscal quarter. These factors may contribute to substantial fluctuations in our quarterly operating results. Because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 In addition, the introduction of new products could adversely impact our sales cycle, as customers take additional time to assess the benefits and costs of such products.</w:t>
      </w:r>
    </w:p>
    <w:p>
      <w:pPr>
        <w:spacing w:after="0" w:line="19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INTERNATIONAL SALES OF OUR PRODUCTS ACCOUNT FOR A SIGNIFICANT PORTION OF OUR REVENUES, WHICH EXPOSES US TO RISKS INHERENT IN INTERNATIONAL OPERATIONS. OUR GROWTH MAY BE LIMITED IF WE ARE UNABLE TO SUCCESSFULLY MANAGE OUR INTERNATIONAL ACTIVITIES.</w:t>
      </w:r>
    </w:p>
    <w:p>
      <w:pPr>
        <w:spacing w:after="0" w:line="5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business currently depends in part on our activities in Europe and other foreign markets. Revenue to markets outside of the United States accounted for approximately 22%, 22%, and 17% of our revenue for the years ended December 31, 2008, 2007 and 2006, respectively. We are subject to a number of challenges that specifically relate to our international business activities. These challenges include:</w:t>
      </w:r>
    </w:p>
    <w:p>
      <w:pPr>
        <w:spacing w:after="0" w:line="5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local laws to provide the same degree of protection against infringement of our intellectual property;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competitors, which could slow our growth in international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risks associated with foreign currency exchange rate fluctuation;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expense of establishing facilities and operations in new foreign markets;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building an organization capable of supporting geographically dispersed operations.</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 large portion of our international sales are denominated in United States dollars. As a result, an increase in the value of the United States dollar relative to foreign currencies could make our products less competitive and/or less affordable in international markets. If we are unable to meet and overcome these challenges, our international operations may not be successful, which would limit the growth of our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spacing w:after="0" w:line="275" w:lineRule="auto"/>
        <w:rPr>
          <w:sz w:val="20"/>
          <w:szCs w:val="20"/>
          <w:color w:val="auto"/>
        </w:rPr>
      </w:pPr>
      <w:r>
        <w:rPr>
          <w:rFonts w:ascii="Arial" w:cs="Arial" w:eastAsia="Arial" w:hAnsi="Arial"/>
          <w:sz w:val="18"/>
          <w:szCs w:val="18"/>
          <w:b w:val="1"/>
          <w:bCs w:val="1"/>
          <w:color w:val="auto"/>
        </w:rPr>
        <w:t>WE UTILIZE DISTRIBUTORS FOR A PORTION OF OUR SALES, THE LOSS OF WHICH COULD HARM OUR REVENUES IN THE TERRITORY SERVICED BY THESE DISTRIBUTORS.</w:t>
      </w:r>
    </w:p>
    <w:p>
      <w:pPr>
        <w:spacing w:after="0" w:line="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strategic relationships with a number of key distributors for sales and service of our products, in certain foreign countries. If these strategic relationships are terminated and not replaced, our revenues and/or ability to service our products in the territories serviced by these distributors could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FOREIGN CURRENCY EXCHANGE RATES COULD REDUCE PROFITABILITY.</w:t>
      </w:r>
    </w:p>
    <w:p>
      <w:pPr>
        <w:spacing w:after="0" w:line="96" w:lineRule="exact"/>
        <w:rPr>
          <w:sz w:val="20"/>
          <w:szCs w:val="20"/>
          <w:color w:val="auto"/>
        </w:rPr>
      </w:pPr>
    </w:p>
    <w:p>
      <w:pPr>
        <w:jc w:val="both"/>
        <w:ind w:right="80" w:firstLine="456"/>
        <w:spacing w:after="0" w:line="291" w:lineRule="auto"/>
        <w:rPr>
          <w:sz w:val="20"/>
          <w:szCs w:val="20"/>
          <w:color w:val="auto"/>
        </w:rPr>
      </w:pPr>
      <w:r>
        <w:rPr>
          <w:rFonts w:ascii="Arial" w:cs="Arial" w:eastAsia="Arial" w:hAnsi="Arial"/>
          <w:sz w:val="16"/>
          <w:szCs w:val="16"/>
          <w:color w:val="auto"/>
        </w:rPr>
        <w:t>A portion of our revenue and cost is denominated in Euros. Fluctuations in the euro-U.S. dollar exchange rate can adversely impact our cost of operations. To reduce the risk of unpredictable changes, we may, from time to time, enter into forward foreign exchange contracts. However, due to the variability of timing and amount of payments under these contracts, the forward foreign exchange contracts may not mitigate the potential adverse impact on our financial results and in fact may themselves cause financial harm. Furthermore, these contracts have inherent levels of counterparty risk over which we have no control. We have not entered into foreign currency forward contracts at December 31, 2008. Subsequent to December 31, 2008, we entered into foreign exchange contracts to hedge a portion of our risk associated with Euro exposure.</w:t>
      </w:r>
    </w:p>
    <w:p>
      <w:pPr>
        <w:spacing w:after="0" w:line="19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IF DEFECTS ARE DISCOVERED IN OUR PRODUCTS, WE MAY INCUR ADDITIONAL UNFORESEEN COSTS, HOSPITALS MAY NOT PURCHASE OUR PRODUCTS AND OUR REPUTATION MAY SUFFER.</w:t>
      </w:r>
    </w:p>
    <w:p>
      <w:pPr>
        <w:spacing w:after="0" w:line="4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products incorporate mechanical parts, electrical components, optical components and computer software, any of which can contain errors or failures, especially when first introduced. In addition, new products or enhancements may contain undetected errors or performance problems that, despite testing, are discovered only after commercial shipment. Because our products are designed to be used to perform complex surgical procedures, we expect that our customers will have an increased sensitivity to such defects. In the past, we have voluntarily recalled certain products as a result of performance problems. We cannot assure that our products will not experience component aging, errors or performance problems in the future. If we experience flaws or performance problems, any of the following could occur:</w:t>
      </w:r>
    </w:p>
    <w:p>
      <w:pPr>
        <w:spacing w:after="0" w:line="6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product shipments;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in market acceptance;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our resources;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service or warranty costs;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246" w:lineRule="exact"/>
        <w:rPr>
          <w:sz w:val="20"/>
          <w:szCs w:val="20"/>
          <w:color w:val="auto"/>
        </w:rPr>
      </w:pPr>
    </w:p>
    <w:p>
      <w:pPr>
        <w:ind w:right="1340"/>
        <w:spacing w:after="0" w:line="275" w:lineRule="auto"/>
        <w:rPr>
          <w:sz w:val="20"/>
          <w:szCs w:val="20"/>
          <w:color w:val="auto"/>
        </w:rPr>
      </w:pPr>
      <w:r>
        <w:rPr>
          <w:rFonts w:ascii="Arial" w:cs="Arial" w:eastAsia="Arial" w:hAnsi="Arial"/>
          <w:sz w:val="18"/>
          <w:szCs w:val="18"/>
          <w:b w:val="1"/>
          <w:bCs w:val="1"/>
          <w:color w:val="auto"/>
        </w:rPr>
        <w:t>THE USE OF OUR PRODUCTS COULD RESULT IN PRODUCT LIABILITY CLAIMS THAT COULD BE EXPENSIVE, DIVERT MANAGEMENT’S ATTENTION AND HARM OUR BUSINESS.</w:t>
      </w:r>
    </w:p>
    <w:p>
      <w:pPr>
        <w:spacing w:after="0" w:line="4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business exposes us to significant risks of product liability claims. The medical device industry has historically been litigious, and we face financial exposure to product liability claims if the use of our products were to cause injury or death. There is also the possibility that defects in the design or manufacture of our products might necessitate a product recall. Any weaknesses in training and services associated with our products may also be subject to product liability lawsuits. Although we maintain product liability insurance, the coverage limits of these policies may not be adequate to cover future claims. Particularly as sales of our products increase, we may be unable to maintain product liability insurance in the future at satisfactory rates or in adequate amounts. A product liability claim, regardless of its merit or eventual outcome, could result in significant legal defense costs. Product liability claims have been made against our company in the past. A product liability claim or any product recalls could also harm our reputation or result in a decline in revenues.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MANUFACTURING PROBLEMS OR DELAYS THAT COULD RESULT IN LOST REVENUE.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Manufacturing our products is a complex process. We may encounter difficulties in scaling up production of our products, including:</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involving production yields;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component supply shortages;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qualified personnel;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state, federal and foreign regulations.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If demand for our products exceeds our manufacturing capacity, we could develop a substantial backlog of customer orders. If we are unable to maintain larger-scale manufacturing capabilities, our ability to generate revenues will be limited and our reputation in the marketplace could be damaged.</w:t>
      </w:r>
    </w:p>
    <w:p>
      <w:pPr>
        <w:spacing w:after="0" w:line="16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OUR RELIANCE ON SOLE AND SINGLE SOURCE SUPPLIERS COULD HARM OUR ABILITY TO MEET DEMAND FOR OUR PRODUCTS IN A TIMELY MANNER OR WITHIN BUDGET.</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Some of the components necessary for the assembly of our products are currently provided to us by sole-sourced suppliers or single-sourced suppliers. We purchase components through purchase orders rather than long-term supply agreements and generally do not maintain large volumes of inventory. While alternative suppliers exist and could be identified for sole-sourced components, the disruption or termination of the supply of components could cause a significant increase in the costs of these components, which could affect our operating results. A disruption or termination in the supply of components could also result in our inability to meet demand for our products, which could harm our ability to generate revenues, lead to customer dissatisfaction and damage our reputation. Furthermore, if we are required to change the manufacturer of a key component of our products, we may be required to verify that the new manufacturer maintains facilities and procedures that comply with quality standards and with all applicable regulations and guidelines. The delays associated with the verification of a new manufacturer could delay our ability to manufacture our products in a timely manner or within budget.</w:t>
      </w:r>
    </w:p>
    <w:p>
      <w:pPr>
        <w:spacing w:after="0" w:line="19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IF INSTITUTIONS OR SURGEONS ARE UNABLE TO OBTAIN REIMBURSEMENT FROM THIRD-PARTY PAYORS FOR PROCEDURES USING OUR PRODUCTS, OR IF REIMBURSEMENT IS INSUFFICIENT TO COVER THE COSTS OF PURCHASING OUR PRODUCTS, WE MAY BE UNABLE TO GENERATE SUFFICIENT SALES TO SUPPORT OUR BUSINESS.</w:t>
      </w:r>
    </w:p>
    <w:p>
      <w:pPr>
        <w:spacing w:after="0" w:line="57"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Domestic institutions will typically bill the services performed with our products to various third-party payors, such as Medicare, Medicaid and other government programs and private insurance plans. If hospitals do not obtain sufficient reimbursement from third-party payors for procedures performed with our products, or if government and private payors’ policies do not permit reimbursement for surgical procedures performed using our products, we may not be able to generate the revenues necessary to support our business. Our success in international markets also depends upon the eligibility of our products for reimbursement through government- sponsored health care payment systems and third-party payors. Reimbursement practices vary significantly by country. Many international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reimbursement in any country within a particular time. In addition, health care cost containment efforts similar to those we face in the United States are prevalent in many of the other countries in which we intend to sell our products and these efforts are expected to continue.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LOSE OUR KEY PERSONNEL OR ARE UNABLE TO ATTRACT AND RETAIN ADDITIONAL PERSONNEL, OUR ABILITY TO COMPETE WILL BE HARMED.</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staff. Our product development plans depend, in part, on our ability to attract and retain engineers with experience in mechanics, software and optics. Attracting and retaining qualified personnel will be critical to our success, and competition for qualified personnel is intense. We may not be able to attract and retain personnel on acceptable terms given the competition for such personnel among technology and healthcare companies and universities. The loss of any of these persons or our inability to attract and retain qualified personnel could harm our business and our ability to compete.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OR OTHER DISASTERS COULD DISRUPT OUR BUSINESS AND RESULT IN LOSS OF REVENUE OR IN HIGHER EXPENSES.</w:t>
      </w:r>
    </w:p>
    <w:p>
      <w:pPr>
        <w:spacing w:after="0" w:line="11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Natural disasters, terrorist activities and other business disruptions could seriously harm our revenue and financial condition and increase our costs and expenses. Our corporate headquarters and many of our operations are located in California, a seismically active region. A natural disaster in any of our major markets in North America or Europe could have a material adverse impact on our operations, operating results and financial condition. Further, any unanticipated business disruption caused by Internet security threats, damage to global communication networks or otherwise could have a material adverse impact on our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FINANCIAL ACCOUNTING STANDARDS MAY AFFECT OUR REPORTED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standards or the questioning of current practices may adversely affect our reported financial results or the way we conduct our business.</w:t>
      </w:r>
    </w:p>
    <w:p>
      <w:pPr>
        <w:spacing w:after="0" w:line="21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RESULTS OF OPERATIONS COULD VARY AS A RESULT OF THE METHODS, ESTIMATES, AND JUDGMENTS WE USE IN APPLYING OUR ACCOUNTING POLICIES.</w:t>
      </w:r>
    </w:p>
    <w:p>
      <w:pPr>
        <w:spacing w:after="0" w:line="4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Such methods, estimates, and judgments are, by their nature, subject to substantial risks, uncertainties, and assumptions, and factors may arise over time that lead us to change our methods, estimates, and judgments. Changes in any of our assumptions may adversely affect our reported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EFFECTIVE TAX RATE MAY HARM OUR 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factors may harm our future effective tax rates including:</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valuation of our deferred tax assets and liabilities;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intangibles and impairment of goodwill in connection with acquisitions;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share-based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and changes in generally accepted accounting principles;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repatriation of non-U.S. earnings for which we have not previously provided for U.S.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significant increase in our future effective tax rates could harm net income for future periods.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WE MAY REALIZE LOSSES ON OUR INVESTMENTS IN AUCTION RATE SECURITIES OR BE UNABLE TO LIQUIDATE THESE INVESTMENTS AT DESIRED TIMES AND IN DESIRED AMOUNTS.</w:t>
      </w:r>
    </w:p>
    <w:p>
      <w:pPr>
        <w:spacing w:after="0" w:line="4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December 31, 2008, we held $79.1 million in auction rate securities (ARS), which we classify as long-term investments. Historically, our ARS were highly liquid, using a Dutch auction process that resets the applicable interest rate at predetermined intervals, typically every 28 to 35 days, to provide liquidity at par. However, as a result of liquidity issues in the global credit and capital markets, the auctions for all of our ARS failed beginning in February 2008 when sell orders exceeded buy orders. Of the $79.1 million of ARS as of December 31, 2008, approximately $59.6 million is held by UBS AG (UBS) and have been classified as trading securities. Accordingly, the changes in associated market value during the year ended December 31, 2008, of approximately $11.6 million has been recorded as a charge to earnings.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November 2008, we accepted an offer from UBS, entitling us to sell at par value auction-rate securities originally purchased from UBS at anytime during a two-year period from June 30, 2010 through July 2, 2012. In accepting the offer, we granted UBS the authority to sell or auction the ARS at par at any time up until the expiration date of the offer and released UBS from any claims relating to the marketing and sale of ARS. In lieu of our acceptance of the offer, ARS will continue to accrue and pay interest as determined by the auction process or the terms specified in the prospectus of the ARS if the auction process fails. UBS’s obligations under the offer are not secured by its assets and do not require UBS to obtain any financing to support its performance obligations under the offer. UBS has disclaimed any assurance that it will have sufficient financial resources to satisfy its obligations under the offer. If UBS has insufficient funding to buy back the ARS and the auction process continues to fail, then we may incur further losses on the carrying value of the ARS.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remaining ARS is held by another investment advisor, who has not made an offer similar to UBS and we have continued to classify them as available-for-sale securities. Accordingly, changes in associated market value during the year ended December 31, 2008 have been recorded through other comprehensive income. If the market conditions deteriorate further, we may be required to record additional unrealized losses in other comprehensive income or impairment charges. We may not be able to liquidate these investments unless the issuer calls the security, a successful auction occurs, a buyer is found outside of the auction process, or the security matures.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REGULATORY ENVIRONMENT</w:t>
      </w:r>
    </w:p>
    <w:p>
      <w:pPr>
        <w:spacing w:after="0" w:line="8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OUR PRODUCTS ARE SUBJECT TO A LENGTHY AND UNCERTAIN DOMESTIC REGULATORY PROCESS. IF WE DO NOT OBTAIN AND MAINTAIN THE NECESSARY DOMESTIC REGULATORY APPROVALS, WE WILL NOT BE ABLE TO MARKET AND SELL OUR PRODUCTS IN THE UNITED STATES.</w:t>
      </w:r>
    </w:p>
    <w:p>
      <w:pPr>
        <w:spacing w:after="0" w:line="5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Our products and operations are subject to extensive regulation in the United States by the U.S. Food and Drug Administration, or FDA. The FDA regulates the research, testing, manufacturing, safety, labeling, storage, record keeping, promotion, distribution and production of medical devices in the United States to ensure that medical products distributed domestically are safe and effective for their intended uses. In order for us to market certain products for use in the United States, we generally must first obtain clearance from the FDA pursuant to Section 510(k) of the Federal Food, Drug, and Cosmetic Act, or FFDCA.</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Clearance under Section 510(k) requires demonstration that a new device is substantially equivalent to another device with 510(k) clearance or grandfather status. If we significantly modify our products after they receive FDA clearance, the FDA may require us to submit a separate 510(k) or premarket approval application, or PMA, for the modified product before we are permitted to market the products in the U.S. In addition, if we develop products in the future that are not considered to be substantially equivalent to a device with 510(k) clearance or grandfather status, we will be required to obtain FDA approval by submitting a PMA.</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FDA may not act favorably or quickly in its review of our 510(k) or PMA submissions, or we may encounter significant difficulties and costs in our efforts to obtain FDA clearance or approval, all of which could delay or preclude sale of new products in the United States. Furthermore, the FDA may request additional data or require us to conduct further testing, or compile more data, including clinical data and clinical studies, in support of a 510(k) submission. The FDA may also, instead of accepting a 510(k) submission, require us to submit a PMA, which is typically a much more complex and burdensome application than a 510(k). To support a PMA, the FDA would likely require that we conduct one or more clinical studies to demonstrate that the device is safe and effective. We may not be able to meet the requirements to obtain 510(k) clearance or PMA approval, or the FDA may not grant any necessary clearances or approvals. In addition, the FDA may place significant limitations upon the intended use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approvals of new products we develop, any limitations imposed by the FDA on new product use, or the costs of obtaining FDA clearance or approvals could have a material adverse effect on our business, financial condition and results of operations.</w:t>
      </w:r>
    </w:p>
    <w:p>
      <w:pPr>
        <w:spacing w:after="0" w:line="12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conduct a clinical investigation involving human subjects for the purpose of demonstrating the safety and effectiveness of a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Most of our products to date have been considered significant risk devices requiring IDE approval prior to investigational use. We may not be able to obtain FDA and/or IRB approval to undertake clinical trials in the U.S. for any new devices we intend to market in the United States in the future. If we obtain such approvals, we may not be able to comply with the IDE and other regulations governing clinical investigations or the data from any such trials may not support clearance or approval of the investigational device. Failure to obtain such approvals or to comply with such regulations could have a material adverse effect on our business, financial condition and results of operations.</w:t>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COMPLYING WITH FDA REGULATIONS IS AN EXPENSIVE AND TIME-CONSUMING PROCESS, AND OUR FAILURE TO COMPLY FULLY COULD SUBJECT US TO SIGNIFICANT ENFORCEMENT ACTIONS.</w:t>
      </w:r>
    </w:p>
    <w:p>
      <w:pPr>
        <w:spacing w:after="0" w:line="4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Because our products, including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are commercially distributed, numerous postmarket regulatory requirements apply, including the following:</w:t>
      </w:r>
    </w:p>
    <w:p>
      <w:pPr>
        <w:spacing w:after="0" w:line="51" w:lineRule="exact"/>
        <w:rPr>
          <w:sz w:val="20"/>
          <w:szCs w:val="20"/>
          <w:color w:val="auto"/>
        </w:rPr>
      </w:pPr>
    </w:p>
    <w:p>
      <w:pPr>
        <w:ind w:left="900" w:right="4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System Regulation, or QSR, which requires manufacturers to follow elaborate design, testing, control, documentation and other quality assurance procedures during the manufacturing process;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FDA’s general prohibition against false or misleading statements in the labeling or promotion of products for unapproved or “off-label” uses;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Reports of Corrections and Removals regulation, which requires that manufacturers report to the FDA recalls and field corrective actions taken to reduce a risk to health or to remedy a violation of the FFDCA that may pose a risk to health; and</w:t>
      </w:r>
    </w:p>
    <w:p>
      <w:pPr>
        <w:spacing w:after="0" w:line="5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are subject to inspection and marketing surveillance by the FDA to determine our compliance with regulatory requirements. If the FDA finds that we have failed to comply, it can institute a wide variety of enforcement actions, ranging from a regulatory letter to a public warning letter to more severe civil and criminal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sanctions. Our failure to comply with applicable requirements could lead to an enforcement action that may have an adverse effect on our financial condition and results of operations.</w:t>
      </w:r>
    </w:p>
    <w:p>
      <w:pPr>
        <w:spacing w:after="0" w:line="132"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5"/>
          <w:szCs w:val="15"/>
          <w:color w:val="auto"/>
        </w:rPr>
        <w:t xml:space="preserve">We have modified the labeling; advertising and user training for the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to call out specific procedures that we believe are within the scope of our existing 510(k) clearances. We cannot assure that the FDA would agree that all such specific procedures are within the scope of the existing general clearance or that we have compiled adequate information to support the safety and efficacy of using the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for all such specific procedures. We also have modified the hardware and software in the </w:t>
      </w:r>
      <w:r>
        <w:rPr>
          <w:rFonts w:ascii="Arial" w:cs="Arial" w:eastAsia="Arial" w:hAnsi="Arial"/>
          <w:sz w:val="15"/>
          <w:szCs w:val="15"/>
          <w:i w:val="1"/>
          <w:iCs w:val="1"/>
          <w:color w:val="auto"/>
        </w:rPr>
        <w:t>da Vinci</w:t>
      </w:r>
      <w:r>
        <w:rPr>
          <w:rFonts w:ascii="Arial" w:cs="Arial" w:eastAsia="Arial" w:hAnsi="Arial"/>
          <w:sz w:val="15"/>
          <w:szCs w:val="15"/>
          <w:color w:val="auto"/>
        </w:rPr>
        <w:t xml:space="preserve"> Surgical System since clearance in ways that we believe do not require new 510(k) clearance.</w:t>
      </w:r>
    </w:p>
    <w:p>
      <w:pPr>
        <w:spacing w:after="0" w:line="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cannot assure that the FDA would agree with our determinations not to seek new 510(k) clearance for any of these changes. Computer Motion also modified the hardware and software in its products subsequent to 510(k) clearance without seeking new clearance. We cannot assure that the FDA would agree with the determinations not to seek new 510(k) clearance for any of these changes. The FDA could impose enforcement sanctions and/or require us to obtain 510(k) clearance for any modification to our products or Computer Motion’s products. We may be prohibited from marketing the modified device until such 510(k) clearance is granted.</w:t>
      </w:r>
    </w:p>
    <w:p>
      <w:pPr>
        <w:spacing w:after="0" w:line="14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last inspection occurred in April 2008 and issued a Form FDA 483 listing deficiencies under the QSR relating to complaint handling and supplier management. We believe our quality systems are functioning properly and we continue to work with FDA and agencies worldwide to satisfy their reporting requirements. We later responded to each observation with proposed corrective actions. However, we cannot assure that, upon re-inspection, the FDA will find that our corrective actions are appropriate or that they have been adequately implemented. We also cannot assure that the FDA will not find other deficiencies in our compliance with the QSR and other postmarket regulations.</w:t>
      </w:r>
    </w:p>
    <w:p>
      <w:pPr>
        <w:spacing w:after="0" w:line="19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OUR PRODUCTS ARE SUBJECT TO VARIOUS INTERNATIONAL REGULATORY PROCESSES AND APPROVAL REQUIREMENTS. IF WE DO NOT OBTAIN AND MAINTAIN THE NECESSARY INTERNATIONAL REGULATORY APPROVALS, WE WILL NOT BE ABLE TO MARKET AND SELL OUR PRODUCTS IN FOREIGN COUNTRIES.</w:t>
      </w:r>
    </w:p>
    <w:p>
      <w:pPr>
        <w:spacing w:after="0" w:line="5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receive regulatory approvals in any foreign country in which we plan to market our products. If we fail to obtain or maintain regulatory approval in any foreign country in which we plan to market our products, our ability to generate revenue will be harmed.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European Union requires that manufacturers of medical products obtain the right to affix the CE mark to their products before selling them in member countries of the European Union.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 In January 1999, we received permission to affix the CE mark to our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and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we modify existing products or develop new products in the future, including new instruments, we apply for permission to affix the CE mark to such products. In addition, we will be subject to annual regulatory audits in order to maintain the CE mark permissions we have already obtained. We do not know whether we will be able to obtain permission to affix the CE mark for new or modified products or that we will continue to meet the quality and safety standards required to maintain the permissions we have already received. If we are unable to maintain permission to affix the CE mark to our products, we will no longer be able to sell our products in member countries of the European Union.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color w:val="auto"/>
        </w:rPr>
        <w:t>IF OUR MANUFACTURING FACILITIES DO NOT CONTINUE TO MEET FEDERAL, STATE OR EUROPEAN MANUFACTURING STANDARDS, WE MAY BE REQUIRED TO TEMPORARILY CEASE ALL OR PART OF OUR MANUFACTURING OPERATIONS, WHICH WOULD RESULT IN PRODUCT DELIVERY DELAYS AND LOST REVENUE.</w:t>
      </w:r>
    </w:p>
    <w:p>
      <w:pPr>
        <w:spacing w:after="0" w:line="5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manufacturing facilities are subject to periodic inspection by regulatory authorities and our operations will continue to be regulated by the FDA for compliance with Good Manufacturing Practice requirements contained in the FDA’s Quality System Regulations, or QSR. We are also required to comply with International Organization for Standardization, or ISO, quality system standards in order to produce products for sale in Europe. If we fail to continue to comply with Good Manufacturing Practice requirements or ISO standards, we may be required to cease all or part of our operations until we comply with these regulations. We are currently in compliance with ISO standards. The FDA inspected our Mountain View in March 2000 and our Sunnyvale facilities in December 2002 and December 2006. The Good Manufacturing Practice issues raised by the FDA during the inspections either were satisfactorily resolved with the FDA, or we believe can be resolved by us to the FDA’s satisfaction, although we cannot assure that we will be able to do so. We continue to be subject to FDA inspections at any time. Maintaining such compliance is difficult and costly. We cannot be certain that our facilities will be found to comply with Good Manufacturing Practice requirements or ISO standards in future inspections and audits by regulatory authorities.</w:t>
      </w:r>
    </w:p>
    <w:p>
      <w:pPr>
        <w:spacing w:after="0" w:line="12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As required, we are licensed by the State of California to manufacture medical devices. We are subject to periodic inspections by the California Department of Health Services and, if we are unable to maintain this license following any future inspections, we will be unable to manufacture or ship any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INTELLECTUAL PROPERTY</w:t>
      </w:r>
    </w:p>
    <w:p>
      <w:pPr>
        <w:spacing w:after="0" w:line="8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WE ARE UNABLE TO PROTECT THE INTELLECTUAL PROPERTY CONTAINED IN OUR PRODUCTS FROM USE BY THIRD PARTIES, OUR ABILITY TO COMPETE IN THE MARKET WILL BE HARMED.</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commercial success will depend in part on obtaining patent and other intellectual property protection for the technologies contained in our products, and on successfully defending our patents and other intellectual property against third party challenges. We will incur substantial costs in obtaining patents and, if necessary, defending our proprietary rights. The patent positions of medical device companies, including ours, can be highly uncertain and involve complex and evolving legal and factual questions. We do not know whether we will obtain the patent protection we seek, or that the protection we do obtain will be found valid and enforceable if challenged. We also do not know whether we will be able to develop additional patentable proprietary technologies. If we fail to obtain adequate protection of our intellectual property, or if any protection we obtain is reduced or eliminated, others could use our intellectual property without compensating us, resulting in harm to our business. We may also determine that it is in our best interests to voluntarily challenge a third party’s products or patents in litigation or administrative proceedings, including patent interferences or reexaminations. Furthermore, the laws of certain foreign countries do not protect intellectual property rights to the same extent, as do the laws of the United States.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to patents, we typically rely on a combination of trade secret, copyright and trademark laws, nondisclosure agreements and other contractual provisions and technical security measures to protect our intellectual property rights. Nevertheless, these measures may not be adequate to safeguard the technology underlying our products. If they do not protect our rights adequately, third parties could use our technology, and our ability to compete in the market would be reduced. In addition, employees, consultants and others who participate in developing our products may breach their agreements with us regarding our intellectual property, and we may not have adequate remedies for the breach. We also may not be able to effectively protect our intellectual property rights in some foreign countries. For a variety of reasons, we may decide not to file for patent, copyright or trademark protection outside the United States. We also realize that our trade secrets may become known through other means not currently foreseen by us. Notwithstanding our efforts to protect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intellectual property, our competitors may independently develop similar or alternative technologies or products that are equal or superior to our technology and products without infringing any of our intellectual property rights, or may design around our proprietary technologies.</w:t>
      </w:r>
    </w:p>
    <w:p>
      <w:pPr>
        <w:spacing w:after="0" w:line="207" w:lineRule="exact"/>
        <w:rPr>
          <w:sz w:val="20"/>
          <w:szCs w:val="20"/>
          <w:color w:val="auto"/>
        </w:rPr>
      </w:pPr>
    </w:p>
    <w:p>
      <w:pPr>
        <w:jc w:val="both"/>
        <w:ind w:right="420"/>
        <w:spacing w:after="0" w:line="262" w:lineRule="auto"/>
        <w:rPr>
          <w:sz w:val="20"/>
          <w:szCs w:val="20"/>
          <w:color w:val="auto"/>
        </w:rPr>
      </w:pPr>
      <w:r>
        <w:rPr>
          <w:rFonts w:ascii="Arial" w:cs="Arial" w:eastAsia="Arial" w:hAnsi="Arial"/>
          <w:sz w:val="18"/>
          <w:szCs w:val="18"/>
          <w:b w:val="1"/>
          <w:bCs w:val="1"/>
          <w:color w:val="auto"/>
        </w:rPr>
        <w:t>OTHERS MAY ASSERT THAT OUR PRODUCTS INFRINGE THEIR INTELLECTUAL PROPERTY RIGHTS, WHICH MAY CAUSE US TO ENGAGE IN COSTLY DISPUTES AND, IF WE ARE NOT SUCCESSFUL IN DEFENDING OURSELVES, COULD ALSO CAUSE US TO PAY SUBSTANTIAL DAMAGES AND PROHIBIT US FROM SELLING OUR PRODUCTS.</w:t>
      </w:r>
    </w:p>
    <w:p>
      <w:pPr>
        <w:spacing w:after="0" w:line="5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may be United States and foreign patents issued to third parties that relate to computer-assisted surgery, remote surgery, and minimally invasive surgery. Some of these patents may be broad enough to cover one or more aspects of our present technology, and may cover aspects of our future technology. We do not know whether any of these patents, if challenged, would be held valid, enforceable and infringed. From time to time, we receive, and likely will continue to receive, letters from third parties inviting us to license their patents. We may be sued by, or become involved in an administrative proceeding with, one or more of these third parties.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cannot assure that a court or administrative body would agree with any arguments or defenses we may have concerning invalidity, unenforceability or non-infringement of any third-party patent. In addition to the issued patents of which we are aware, other parties may have filed, and in the future are likely to file, patent applications covering surgical products that are similar or identical to ours. We cannot assure that any patents issuing from applications filed by a third party will not cover our products or will not have priority over our patent applications.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medical device industry has been characterized by extensive litigation and administrative proceedings regarding patents and other intellectual property rights, and companies have employed such actions to gain a competitive advantage. If third parties assert infringement or other intellectual property claims against us, our technical and management personnel will experience a significant diversion of time and effort and we will incur large expenses defending our company. If third parties in any patent action are successful, our patent portfolio may be damaged, we may have to pay substantial damages, including treble damages, and we may be required to stop selling our products or obtain a license which, if available at all, may require us to pay substantial royalties. We cannot be certain that we will have the financial resources or the substantive arguments to defend our patents from infringement or claims of invalidity or unenforceability, or to defend against allegations of infringement of third-party patents. In addition, any public announcements related to litigation or administrative proceedings initiated by us, or initiated or threatened against us, could cause our stock price to decline.</w:t>
      </w:r>
    </w:p>
    <w:p>
      <w:pPr>
        <w:spacing w:after="0" w:line="1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PRODUCTS RELY ON LICENSES FROM THIRD PARTIES, AND IF WE LOSE ACCESS TO THESE TECHNOLOGIES, OUR REVENUES COULD DECLINE.</w:t>
      </w:r>
    </w:p>
    <w:p>
      <w:pPr>
        <w:spacing w:after="0" w:line="4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rely on technology that we license from others, including technology that is integral to our products. We have entered into license agreements with several industry partners. Any of these agreements may be terminated for breach. If any of these agreements are terminated, we may be unable to reacquire the necessary license on satisfactory terms, or at all. The loss or failure to maintain these licenses could prevent or delay further development or commercialization of our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TRADING MARKETS</w:t>
      </w:r>
    </w:p>
    <w:p>
      <w:pPr>
        <w:spacing w:after="0" w:line="84"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OUR FUTURE OPERATING RESULTS MAY BE BELOW SECURITIES ANALYSTS’ OR INVESTORS’ EXPECTATIONS, WHICH COULD CAUSE OUR STOCK PRICE TO DECLINE.</w:t>
      </w:r>
    </w:p>
    <w:p>
      <w:pPr>
        <w:spacing w:after="0" w:line="4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Due to the nascent nature of our industry, we have limited insight into trends that may emerge in our market and affect our business. The revenue and income potential of our market are unproven, and we may be unable to continue to generate significant revenues. Our product typically has a lengthy sales cycle. In addition, our costs may be higher than we anticipated. If we fail to generate sufficient revenues or our costs are higher than we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expect, our results of operations will suffer. Further, future revenue from sales of our products is difficult to forecast because the market for new surgical technologies is still evolving. Our results of operations will depend upon numerous factors, including:</w:t>
      </w:r>
    </w:p>
    <w:p>
      <w:pPr>
        <w:spacing w:after="0" w:line="5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our products gain market acceptance;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relating to regulatory matters;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timing and ability to develop our manufacturing and sales and marketing capabilities;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timing of particular sales and any collection delays related to those sales;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quality and supply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of surgical training in the use of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introduce and market new or enhanced versions of our products on a timely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payor reimbursement policies;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proprietary rights and defend against third party challenges;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license additional intellectual property rights;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and results of clinical trials.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operating results in any particular period will not be a reliable indication of our future performance. It is likely that in some future quarters, our operating results will be below the expectations of securities analysts or investors. If this occurs, the price of our common stock, and the value of your investment, will likely decline.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AND WILL LIKELY CONTINUE TO BE, VOLATILE.</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market price of our common stock has experienced fluctuations and is likely to fluctuate significantly in the future. For example, during fiscal 2008, the NASDAQ closing price of one share of our common stock reached a high of $353.88 and a low of $111.74. Our stock price can fluctuate for a number of reasons, including:</w:t>
      </w:r>
    </w:p>
    <w:p>
      <w:pPr>
        <w:spacing w:after="0" w:line="5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about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or abandonment of new technologies or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product pricing policies;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earnings estimates by analysts or changes in accounting policies;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changes and overall market volatility;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uncertainties.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stock markets have experienced significant price and volume volatility in the past. This volatility has had a substantial effect on the market prices of securities of many public companies for reasons frequently unrelated or disproportionate to the operating performance of the specific companies. In addition, the securities of many medical device companies, including Intuitive Surgical, have historically been subject to extensive price and volume fluctuations that may affect the market price of their common stock. If these broad market fluctuations continue, they may adversely affect the market price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As of December 31, 2008, we owned approximately 393,000 square feet of floor space on 33 acres of land in Sunnyvale, California, where we house our headquarters, research and development, service, and support functions, and a majority of our manufacturing operations. In addition, we lease a 34,000 square foot building in Mexicali, Mexico where we manufacture a portion of our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We also lease approximately 5,000 square feet of space for research and development in Milford, Connecticut and approximately 5,100 square feet of space for our international headquarters in Aubonne, Switzerland. In addition, we began construction of a 154,000 square foot multi-use building on the land we purchased in Sunnyvale, CA during the year ended December 31, 2007. However, due to the economic climate, we have delayed construction until 2010 at the earliest.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involved in various legal proceedings and disputes that arise in the normal course of business. These matters include product liability actions, patent infringement actions, contract disputes, and other matters. We do not know whether we will prevail in these matters nor can we assure that any remedy could be reached on commercially viable terms, if at all. Based on currently available information, we believe that we have meritorious defenses to these actions and that the resolution of these cases is not likely to have a material adverse effect on our business, financial position or future results of operations. In accordance with Statement of Financial Accounting Standards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(SFAS 5),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quarter ended December 31, 2008.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920" w:right="260" w:hanging="904"/>
        <w:spacing w:after="0" w:line="275" w:lineRule="auto"/>
        <w:tabs>
          <w:tab w:leader="none" w:pos="9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common stock is being traded on The NASDAQ Global Select Market under the symbol “ISRG”. The following table sets forth the high and low closing prices of our common stock for each period indicated and are as reported by NASDAQ.</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w:t>
            </w:r>
          </w:p>
        </w:tc>
        <w:tc>
          <w:tcPr>
            <w:tcW w:w="2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2008</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High</w:t>
            </w:r>
          </w:p>
        </w:tc>
        <w:tc>
          <w:tcPr>
            <w:tcW w:w="42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High</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00" w:type="dxa"/>
            <w:vAlign w:val="bottom"/>
            <w:gridSpan w:val="3"/>
            <w:shd w:val="clear" w:color="auto" w:fill="CCEEFF"/>
          </w:tcPr>
          <w:p>
            <w:pPr>
              <w:jc w:val="center"/>
              <w:ind w:left="2212"/>
              <w:spacing w:after="0"/>
              <w:rPr>
                <w:sz w:val="20"/>
                <w:szCs w:val="20"/>
                <w:color w:val="auto"/>
              </w:rPr>
            </w:pPr>
            <w:r>
              <w:rPr>
                <w:rFonts w:ascii="Arial" w:cs="Arial" w:eastAsia="Arial" w:hAnsi="Arial"/>
                <w:sz w:val="18"/>
                <w:szCs w:val="18"/>
                <w:color w:val="auto"/>
                <w:w w:val="89"/>
              </w:rPr>
              <w:t>$327.24</w:t>
            </w:r>
          </w:p>
        </w:tc>
        <w:tc>
          <w:tcPr>
            <w:tcW w:w="124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9"/>
              </w:rPr>
              <w:t>$235.00</w:t>
            </w:r>
          </w:p>
        </w:tc>
        <w:tc>
          <w:tcPr>
            <w:tcW w:w="86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$123.38</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000" w:type="dxa"/>
            <w:vAlign w:val="bottom"/>
            <w:gridSpan w:val="3"/>
          </w:tcPr>
          <w:p>
            <w:pPr>
              <w:jc w:val="center"/>
              <w:ind w:left="2212"/>
              <w:spacing w:after="0"/>
              <w:rPr>
                <w:sz w:val="20"/>
                <w:szCs w:val="20"/>
                <w:color w:val="auto"/>
              </w:rPr>
            </w:pPr>
            <w:r>
              <w:rPr>
                <w:rFonts w:ascii="Arial" w:cs="Arial" w:eastAsia="Arial" w:hAnsi="Arial"/>
                <w:sz w:val="18"/>
                <w:szCs w:val="18"/>
                <w:color w:val="auto"/>
                <w:w w:val="89"/>
              </w:rPr>
              <w:t>$353.88</w:t>
            </w:r>
          </w:p>
        </w:tc>
        <w:tc>
          <w:tcPr>
            <w:tcW w:w="1240" w:type="dxa"/>
            <w:vAlign w:val="bottom"/>
            <w:gridSpan w:val="3"/>
          </w:tcPr>
          <w:p>
            <w:pPr>
              <w:jc w:val="center"/>
              <w:ind w:left="96"/>
              <w:spacing w:after="0"/>
              <w:rPr>
                <w:sz w:val="20"/>
                <w:szCs w:val="20"/>
                <w:color w:val="auto"/>
              </w:rPr>
            </w:pPr>
            <w:r>
              <w:rPr>
                <w:rFonts w:ascii="Arial" w:cs="Arial" w:eastAsia="Arial" w:hAnsi="Arial"/>
                <w:sz w:val="18"/>
                <w:szCs w:val="18"/>
                <w:color w:val="auto"/>
                <w:w w:val="89"/>
              </w:rPr>
              <w:t>$265.92</w:t>
            </w:r>
          </w:p>
        </w:tc>
        <w:tc>
          <w:tcPr>
            <w:tcW w:w="86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$143.39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121.19</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000" w:type="dxa"/>
            <w:vAlign w:val="bottom"/>
            <w:gridSpan w:val="3"/>
            <w:shd w:val="clear" w:color="auto" w:fill="CCEEFF"/>
          </w:tcPr>
          <w:p>
            <w:pPr>
              <w:jc w:val="center"/>
              <w:ind w:left="2212"/>
              <w:spacing w:after="0"/>
              <w:rPr>
                <w:sz w:val="20"/>
                <w:szCs w:val="20"/>
                <w:color w:val="auto"/>
              </w:rPr>
            </w:pPr>
            <w:r>
              <w:rPr>
                <w:rFonts w:ascii="Arial" w:cs="Arial" w:eastAsia="Arial" w:hAnsi="Arial"/>
                <w:sz w:val="18"/>
                <w:szCs w:val="18"/>
                <w:color w:val="auto"/>
                <w:w w:val="89"/>
              </w:rPr>
              <w:t>$331.13</w:t>
            </w:r>
          </w:p>
        </w:tc>
        <w:tc>
          <w:tcPr>
            <w:tcW w:w="124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9"/>
              </w:rPr>
              <w:t>$240.98</w:t>
            </w:r>
          </w:p>
        </w:tc>
        <w:tc>
          <w:tcPr>
            <w:tcW w:w="86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$231.31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141.91</w:t>
            </w:r>
          </w:p>
        </w:tc>
        <w:tc>
          <w:tcPr>
            <w:tcW w:w="0" w:type="dxa"/>
            <w:vAlign w:val="bottom"/>
          </w:tcPr>
          <w:p>
            <w:pPr>
              <w:spacing w:after="0"/>
              <w:rPr>
                <w:sz w:val="1"/>
                <w:szCs w:val="1"/>
                <w:color w:val="auto"/>
              </w:rPr>
            </w:pP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000" w:type="dxa"/>
            <w:vAlign w:val="bottom"/>
            <w:gridSpan w:val="3"/>
          </w:tcPr>
          <w:p>
            <w:pPr>
              <w:jc w:val="center"/>
              <w:ind w:left="2212"/>
              <w:spacing w:after="0"/>
              <w:rPr>
                <w:sz w:val="20"/>
                <w:szCs w:val="20"/>
                <w:color w:val="auto"/>
              </w:rPr>
            </w:pPr>
            <w:r>
              <w:rPr>
                <w:rFonts w:ascii="Arial" w:cs="Arial" w:eastAsia="Arial" w:hAnsi="Arial"/>
                <w:sz w:val="18"/>
                <w:szCs w:val="18"/>
                <w:color w:val="auto"/>
                <w:w w:val="89"/>
              </w:rPr>
              <w:t>$236.55</w:t>
            </w:r>
          </w:p>
        </w:tc>
        <w:tc>
          <w:tcPr>
            <w:tcW w:w="1240" w:type="dxa"/>
            <w:vAlign w:val="bottom"/>
            <w:gridSpan w:val="3"/>
          </w:tcPr>
          <w:p>
            <w:pPr>
              <w:jc w:val="center"/>
              <w:ind w:left="96"/>
              <w:spacing w:after="0"/>
              <w:rPr>
                <w:sz w:val="20"/>
                <w:szCs w:val="20"/>
                <w:color w:val="auto"/>
              </w:rPr>
            </w:pPr>
            <w:r>
              <w:rPr>
                <w:rFonts w:ascii="Arial" w:cs="Arial" w:eastAsia="Arial" w:hAnsi="Arial"/>
                <w:sz w:val="18"/>
                <w:szCs w:val="18"/>
                <w:color w:val="auto"/>
                <w:w w:val="82"/>
              </w:rPr>
              <w:t>$ 111.74</w:t>
            </w:r>
          </w:p>
        </w:tc>
        <w:tc>
          <w:tcPr>
            <w:tcW w:w="86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$353.00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231.40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January 31, 2009, there were 257 stockholders of record of our common stock, although we believe that there are a significantly larger number of beneficial owners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never declared or paid any cash dividends. We currently expect to retain earnings for use in the operation and expansion of our business, and therefore do not anticipate paying any cash dividends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240" w:top="459" w:right="5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December 31, 2003 and December 31, 2008, with the cumulative total return of (i) the S&amp;P Healthcare Index, (ii) the Nasdaq Composite Index and (iii) the S&amp;P 500 Index, over the same period. This graph assumes the investment of $100.00 on December 31, 2003 in our common stock, the S&amp;P Healthcare Index, the Nasdaq Composite Index, and the S&amp;P 500 Index and assumes the reinvestment of dividends, if any. We included the comparison with the S&amp;P 500 Index because our Company became a component of the S&amp;P 500 Index on June 2, 2008.</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88900</wp:posOffset>
            </wp:positionV>
            <wp:extent cx="5093970" cy="31216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9397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12/31/03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12/31/04</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12/31/05</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12/31/06</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12/31/07</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12/31/08</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Intuitive Surgical, Inc.</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234.17</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686.19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743.07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NASDAQ Composite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108.59</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110.08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120.56</w:t>
            </w:r>
          </w:p>
        </w:tc>
        <w:tc>
          <w:tcPr>
            <w:tcW w:w="840" w:type="dxa"/>
            <w:vAlign w:val="bottom"/>
          </w:tcPr>
          <w:p>
            <w:pPr>
              <w:jc w:val="right"/>
              <w:spacing w:after="0"/>
              <w:rPr>
                <w:sz w:val="20"/>
                <w:szCs w:val="20"/>
                <w:color w:val="auto"/>
              </w:rPr>
            </w:pPr>
            <w:r>
              <w:rPr>
                <w:rFonts w:ascii="Arial" w:cs="Arial" w:eastAsia="Arial" w:hAnsi="Arial"/>
                <w:sz w:val="18"/>
                <w:szCs w:val="18"/>
                <w:color w:val="auto"/>
              </w:rPr>
              <w:t>132.39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78.72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S&amp;P Healthcare Index</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105.10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88.49</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S&amp;P 500 Index</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108.99</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112.26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127.55</w:t>
            </w:r>
          </w:p>
        </w:tc>
        <w:tc>
          <w:tcPr>
            <w:tcW w:w="840" w:type="dxa"/>
            <w:vAlign w:val="bottom"/>
          </w:tcPr>
          <w:p>
            <w:pPr>
              <w:jc w:val="right"/>
              <w:spacing w:after="0"/>
              <w:rPr>
                <w:sz w:val="20"/>
                <w:szCs w:val="20"/>
                <w:color w:val="auto"/>
              </w:rPr>
            </w:pPr>
            <w:r>
              <w:rPr>
                <w:rFonts w:ascii="Arial" w:cs="Arial" w:eastAsia="Arial" w:hAnsi="Arial"/>
                <w:sz w:val="18"/>
                <w:szCs w:val="18"/>
                <w:color w:val="auto"/>
              </w:rPr>
              <w:t>132.06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81.23</w:t>
            </w:r>
          </w:p>
        </w:tc>
      </w:tr>
      <w:tr>
        <w:trPr>
          <w:trHeight w:val="356"/>
        </w:trPr>
        <w:tc>
          <w:tcPr>
            <w:tcW w:w="3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612"/>
              <w:spacing w:after="0"/>
              <w:rPr>
                <w:sz w:val="20"/>
                <w:szCs w:val="20"/>
                <w:color w:val="auto"/>
              </w:rPr>
            </w:pPr>
            <w:r>
              <w:rPr>
                <w:rFonts w:ascii="Arial" w:cs="Arial" w:eastAsia="Arial" w:hAnsi="Arial"/>
                <w:sz w:val="18"/>
                <w:szCs w:val="18"/>
                <w:color w:val="auto"/>
                <w:w w:val="99"/>
              </w:rPr>
              <w:t>33</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the accompanying notes and “Management’s Discussion and Analysis of Financial Condition and Results of Operations” included elsewhere in this report. The selected data in this section is not intended to replace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2006</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r>
      <w:tr>
        <w:trPr>
          <w:trHeight w:val="142"/>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20" w:type="dxa"/>
            <w:vAlign w:val="bottom"/>
            <w:gridSpan w:val="10"/>
          </w:tcPr>
          <w:p>
            <w:pPr>
              <w:jc w:val="center"/>
              <w:ind w:right="720"/>
              <w:spacing w:after="0" w:line="142" w:lineRule="exact"/>
              <w:rPr>
                <w:sz w:val="20"/>
                <w:szCs w:val="20"/>
                <w:color w:val="auto"/>
              </w:rPr>
            </w:pPr>
            <w:r>
              <w:rPr>
                <w:rFonts w:ascii="Arial" w:cs="Arial" w:eastAsia="Arial" w:hAnsi="Arial"/>
                <w:sz w:val="14"/>
                <w:szCs w:val="14"/>
                <w:b w:val="1"/>
                <w:bCs w:val="1"/>
                <w:color w:val="auto"/>
                <w:w w:val="85"/>
              </w:rPr>
              <w:t>(In thousands, except per share amounts and headcount)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874,919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600,828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372,682</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227,338</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138,803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620,777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414,286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247,836</w:t>
            </w:r>
          </w:p>
        </w:tc>
        <w:tc>
          <w:tcPr>
            <w:tcW w:w="7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153,569</w:t>
            </w:r>
          </w:p>
        </w:tc>
        <w:tc>
          <w:tcPr>
            <w:tcW w:w="5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87,990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204,315(1)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144,537(1)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72,044(1)(2)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94,134(2)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5.12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w:t>
            </w:r>
          </w:p>
        </w:tc>
        <w:tc>
          <w:tcPr>
            <w:tcW w:w="7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5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08"/>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per common share:</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38,877</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37,831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36,737</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35,070</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33,693</w:t>
            </w: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39,943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38,093</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37,488</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34,976</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901,873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635,381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330,296</w:t>
            </w:r>
          </w:p>
        </w:tc>
        <w:tc>
          <w:tcPr>
            <w:tcW w:w="7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202,739</w:t>
            </w:r>
          </w:p>
        </w:tc>
        <w:tc>
          <w:tcPr>
            <w:tcW w:w="5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132,038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4"/>
              </w:rPr>
              <w:t>1,474,624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1,039,998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671,790</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501,587</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354,229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43,342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19,554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1,418</w:t>
            </w:r>
          </w:p>
        </w:tc>
        <w:tc>
          <w:tcPr>
            <w:tcW w:w="7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1,009</w:t>
            </w:r>
          </w:p>
        </w:tc>
        <w:tc>
          <w:tcPr>
            <w:tcW w:w="5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4"/>
              </w:rPr>
              <w:t>1,266,766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888,674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589,705</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442,591</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314,932</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Total headcount</w:t>
            </w:r>
          </w:p>
        </w:tc>
        <w:tc>
          <w:tcPr>
            <w:tcW w:w="100" w:type="dxa"/>
            <w:vAlign w:val="bottom"/>
          </w:tcPr>
          <w:p>
            <w:pPr>
              <w:spacing w:after="0"/>
              <w:rPr>
                <w:sz w:val="19"/>
                <w:szCs w:val="19"/>
                <w:color w:val="auto"/>
              </w:rPr>
            </w:pPr>
          </w:p>
        </w:tc>
        <w:tc>
          <w:tcPr>
            <w:tcW w:w="1520" w:type="dxa"/>
            <w:vAlign w:val="bottom"/>
            <w:gridSpan w:val="2"/>
          </w:tcPr>
          <w:p>
            <w:pPr>
              <w:jc w:val="right"/>
              <w:ind w:right="82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764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563</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8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income for the years ended December 31, 2008, 2007, and 2006 included stock-based compensation expense under Statement of Financial Standards No. 123 (revised 2004), “</w:t>
      </w:r>
      <w:r>
        <w:rPr>
          <w:rFonts w:ascii="Arial" w:cs="Arial" w:eastAsia="Arial" w:hAnsi="Arial"/>
          <w:sz w:val="16"/>
          <w:szCs w:val="16"/>
          <w:i w:val="1"/>
          <w:iCs w:val="1"/>
          <w:color w:val="auto"/>
        </w:rPr>
        <w:t>Share-Based Compensation</w:t>
      </w:r>
      <w:r>
        <w:rPr>
          <w:rFonts w:ascii="Arial" w:cs="Arial" w:eastAsia="Arial" w:hAnsi="Arial"/>
          <w:sz w:val="16"/>
          <w:szCs w:val="16"/>
          <w:color w:val="auto"/>
        </w:rPr>
        <w:t>” (SFAS123(R)) of $53.4 million, $23.6 million, and $16.3 million, net of tax, related to employee stock options and employee stock purchases. Prior to fiscal 2006, there was no stock-based compensation expense related to employee stock options and employee stock purchases under Statement of Financial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(SFAS 123), because the Company did not adopt the recognition provisions of SFAS 123. Net income for the years ended December 31, 2008, 2007, 2006, 2005 and 2004 included amortization of purchased intellectual property of $9.8 million, $1.3 million, $0.8 million, $0.3 million and $0.3 million, respectively.</w:t>
      </w:r>
    </w:p>
    <w:p>
      <w:pPr>
        <w:spacing w:after="0" w:line="1" w:lineRule="exact"/>
        <w:rPr>
          <w:rFonts w:ascii="Arial" w:cs="Arial" w:eastAsia="Arial" w:hAnsi="Arial"/>
          <w:sz w:val="16"/>
          <w:szCs w:val="16"/>
          <w:color w:val="auto"/>
        </w:rPr>
      </w:pPr>
    </w:p>
    <w:p>
      <w:pPr>
        <w:ind w:left="460" w:right="54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for the year ended December 31, 2005 included a deferred tax benefit of $22.2 million related to the reversal of the valuation allowance. During 2006, we began reporting income taxes on a fully-taxed basis.</w:t>
      </w:r>
    </w:p>
    <w:p>
      <w:pPr>
        <w:spacing w:after="0" w:line="253" w:lineRule="exact"/>
        <w:rPr>
          <w:sz w:val="20"/>
          <w:szCs w:val="20"/>
          <w:color w:val="auto"/>
        </w:rPr>
      </w:pPr>
    </w:p>
    <w:p>
      <w:pPr>
        <w:ind w:right="144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2008 Business Events and Trends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Products. </w:t>
      </w:r>
      <w:r>
        <w:rPr>
          <w:rFonts w:ascii="Arial" w:cs="Arial" w:eastAsia="Arial" w:hAnsi="Arial"/>
          <w:sz w:val="18"/>
          <w:szCs w:val="18"/>
          <w:color w:val="auto"/>
        </w:rPr>
        <w:t>We design, manufacture and market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da Vinci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Surgical Systems, which are advanced surgical systems that we believe represent a new generation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surgery.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consists of a surgeon’s console, a patient-side cart and a high performance vision system. The product line also includes proprietary “wristed” instruments and surgical accessories.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seamlessly translates the surgeon’s natural hand movements on instrument controls at a console into corresponding micro-movements of instruments positioned inside the patient through small puncture incisions, or ports. We believe that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System is the only commercially available technology that can provide the surgeon with intuitive control, range of motion, fine tissue manipulation capability and 3-D HD visualization, while simultaneously allowing the surgeons to work through the small ports of minimally invasive surgery, or MIS. By placing computer-enhanced technology between the surgeon and the patient, we believe that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enables surgeons to improve clinical outcomes while reducing the invasiveness of complex surgical procedures.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is sold into multiple surgical specialties, principally urology, gynecology, cardiothoracic, and general surgery.</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Business Model. </w:t>
      </w:r>
      <w:r>
        <w:rPr>
          <w:rFonts w:ascii="Arial" w:cs="Arial" w:eastAsia="Arial" w:hAnsi="Arial"/>
          <w:sz w:val="16"/>
          <w:szCs w:val="16"/>
          <w:color w:val="auto"/>
        </w:rPr>
        <w:t>In our business model, we generate revenue from both the initial capital sales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da Vinci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Surgical Systems as well as recurring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comprised of instrument, accessory, and service revenue.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generally sells for approximately $1.0 million to $1.7 million, depending on configuration, and includes one year of service, and represents a significant capital equipment investment for our customers. We then generate recurring revenue as our customers purchase our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instruments and accessory products for use in performing procedures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w:t>
      </w:r>
      <w:r>
        <w:rPr>
          <w:rFonts w:ascii="Arial" w:cs="Arial" w:eastAsia="Arial" w:hAnsi="Arial"/>
          <w:sz w:val="16"/>
          <w:szCs w:val="16"/>
          <w:i w:val="1"/>
          <w:iCs w:val="1"/>
          <w:color w:val="auto"/>
        </w:rPr>
        <w:t xml:space="preserve">EndoWrist </w:t>
      </w:r>
      <w:r>
        <w:rPr>
          <w:rFonts w:ascii="Arial" w:cs="Arial" w:eastAsia="Arial" w:hAnsi="Arial"/>
          <w:sz w:val="16"/>
          <w:szCs w:val="16"/>
          <w:color w:val="auto"/>
        </w:rPr>
        <w:t>instruments and accessories will either expire or wear out as they are used in surgery and will need to be replaced as they are consumed. We generate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recurring revenue from ongoing system service. We typically enter into service contracts at the time the system is sold. These service contracts have been generally renewable at the end of the service period, typically at an annual rate of approximately $100,000 to $150,000 per year, depending on configuration of the underlying system.</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Since the introduction of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in 1999, our established base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has grown and robotic surgery volume has increased. Recurring revenue has grown at an equal or faster rate than system revenue over the three years ending December 31, 2008. Recurring revenue generated from the sales of instruments and accessories and services increased from $166.8 million, or 45% of total revenue, in 2006 to $276.4 million, or 46% of total revenue, in 2007 to $419.6 million, or 48% of total revenue, in 2008. We expect recurring revenue to become a larger percentage of total revenue in the future.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Regulatory Activities</w:t>
      </w:r>
    </w:p>
    <w:p>
      <w:pPr>
        <w:spacing w:after="0" w:line="90" w:lineRule="exact"/>
        <w:rPr>
          <w:sz w:val="20"/>
          <w:szCs w:val="20"/>
          <w:color w:val="auto"/>
        </w:rPr>
      </w:pPr>
    </w:p>
    <w:p>
      <w:pPr>
        <w:ind w:right="180" w:firstLine="456"/>
        <w:spacing w:after="0" w:line="357" w:lineRule="auto"/>
        <w:rPr>
          <w:sz w:val="20"/>
          <w:szCs w:val="20"/>
          <w:color w:val="auto"/>
        </w:rPr>
      </w:pPr>
      <w:r>
        <w:rPr>
          <w:rFonts w:ascii="Arial" w:cs="Arial" w:eastAsia="Arial" w:hAnsi="Arial"/>
          <w:sz w:val="15"/>
          <w:szCs w:val="15"/>
          <w:color w:val="auto"/>
        </w:rPr>
        <w:t>We believe that we have obtained all of the clearances required to market our products to our targeted surgical specialties within the United States. As we make additions to target procedures, we will continue to obtain the necessary clearance. The following table lists chronologically our FDA clearances to date:</w:t>
      </w: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July 2000—General laparoscopic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March 2001—Non-cardiac thoracoscopic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2001—Prostatectomy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November 2002—Cardiotomy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July 2004—Cardiac revascularization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March 2005—Urologic surgical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April 2005—Gynecologic surgical procedures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June 2005—Pediatric surgical procedures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March 2008 we received clearance to market our system-held cardiac stabilizer and permission to remove the warning in our labeling regarding system use in non-arrested heart procedures.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2008 Business Events and Trends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We experienced rapid growth during the years ended December 31, 2008 and 2007, which was driven by the continued adoption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da</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Vinci </w:t>
      </w:r>
      <w:r>
        <w:rPr>
          <w:rFonts w:ascii="Arial" w:cs="Arial" w:eastAsia="Arial" w:hAnsi="Arial"/>
          <w:sz w:val="18"/>
          <w:szCs w:val="18"/>
          <w:color w:val="auto"/>
        </w:rPr>
        <w:t>Surgical System for use in urologic, gynecologic, cardiothoracic, and general surgeries.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2008 Financial Highlights</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Procedures grew 60% to approximately 136,000 procedures performed during the year ended December 31, 2008.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revenue grew 46% to $874.9 million from $600.8 million during the year ended December 31,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Recurring revenue grew 52% to $419.6 million from $276.4 million during the year ended December 31,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Instruments and accessories revenue grew 53% to $293.0 million from $191.7 million during the year ended December 31, 2007.</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System revenue grew 40% to $455.3 million from $324.4 million during the year ended December 31, 2007. In the fourth quarter, we experienced a slowdown of system sales as customers postponed purchases due to the current economic environment. This slowdown may affect future system revenue.</w:t>
      </w:r>
    </w:p>
    <w:p>
      <w:pPr>
        <w:spacing w:after="0" w:line="59"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per employee grew to approximately $965,000 during the year ended December 31, 2008 compared with $906,000 during the year ended December 31, 2007.</w:t>
      </w:r>
    </w:p>
    <w:p>
      <w:pPr>
        <w:spacing w:after="0" w:line="5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We sold 335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during the year ended December 31, 2008; an increase of 39% compared with 241 for the year ended December 31, 2007.</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 of December 31, 2008, we had a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installed base of 1,111 systems, 825 in North America, 194 in Europe, and 92 in the rest of the world.</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income increased by 50% to $310.8 million, or 36% of revenue, during the year ended December 31, 2008 compared to $206.7 million, or 34% of revenue, during the year ended December 31, 2007. Operating income included $76.6 million and $36.3 million during the years ended December 31, 2008 and 2007, respectively, of stock-based compensation expense for the estimated fair value of employee stock programs.</w:t>
      </w:r>
    </w:p>
    <w:p>
      <w:pPr>
        <w:spacing w:after="0" w:line="25" w:lineRule="exact"/>
        <w:rPr>
          <w:rFonts w:ascii="Arial" w:cs="Arial" w:eastAsia="Arial" w:hAnsi="Arial"/>
          <w:sz w:val="16"/>
          <w:szCs w:val="16"/>
          <w:color w:val="auto"/>
        </w:rPr>
      </w:pPr>
    </w:p>
    <w:p>
      <w:pPr>
        <w:ind w:left="900" w:right="40" w:hanging="446"/>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business continues to demonstrate the ability to generate significant positive cash flow while supporting our rapid business growth. Cash, cash equivalents, and investments increased by $266.5 million during 2008, including $44.7 million generated from employee stock programs and $106.0 million of capital expenditure for land, buildings, intellectual property rights and other items and $9.9 million used in addition working capital. We ended fiscal 2008 with $901.9 million in cash, cash equivalents, and investments.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Procedure adoption</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 xml:space="preserve">We believe the adoption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occurs surgical procedure by surgical procedure, and it is being adopted for those procedures which offer significant patient value. The value of a surgical procedure to a patient is higher if it offers superior clinical outcomes, less surgical trauma, or both.</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procedures that have driven the most growth in our business recently are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Prostatectomy (dVP) and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Hysterectomy (dVH). dVP procedures grew approximately 33% in 2008 and represented more than half of all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procedures for the year. dVP is now the leading treatment choice for localized prostate cancer in the United States. The dVH procedure was a faster growing procedure from a percentage growth standpoint in 2008, growing approximately 150%. Other urologic procedures such as,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Nephrectomy,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Cystectomy,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Pyeloplasty, other gynecologic procedures such as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Myomectomy,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Sacral Colpopexy, cardiothoracic procedures such as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Mitral Valve Repair,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Revascularization, and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Gastric Bypass have also contributed to our growth. dVP and dVH represented approximately 79% of the procedures performed during 2008 and no other procedure represents a significant part of our business at this time.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New Products. </w:t>
      </w:r>
      <w:r>
        <w:rPr>
          <w:rFonts w:ascii="Arial" w:cs="Arial" w:eastAsia="Arial" w:hAnsi="Arial"/>
          <w:sz w:val="16"/>
          <w:szCs w:val="16"/>
          <w:color w:val="auto"/>
        </w:rPr>
        <w:t>During the third quarter of fiscal 2008, we launched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EndoWrist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Grasping Retractor.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EndoWrist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Grasping Retractor is a multi-functional 8mm instrument to facilitate soft tissue management. The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Grasping Retractor is designed with the primary intent of providing an atraumatic, large profile, multi-functional instrument for grasping and retracting abdominal viscera and peritoneal tissue in a totally endoscopic environment, in order to obtain the necessary exposure during pelvic and abdominal procedures. The </w:t>
      </w:r>
      <w:r>
        <w:rPr>
          <w:rFonts w:ascii="Arial" w:cs="Arial" w:eastAsia="Arial" w:hAnsi="Arial"/>
          <w:sz w:val="16"/>
          <w:szCs w:val="16"/>
          <w:i w:val="1"/>
          <w:iCs w:val="1"/>
          <w:color w:val="auto"/>
        </w:rPr>
        <w:t>EndoWrist</w:t>
      </w:r>
      <w:r>
        <w:rPr>
          <w:rFonts w:ascii="Arial" w:cs="Arial" w:eastAsia="Arial" w:hAnsi="Arial"/>
          <w:sz w:val="16"/>
          <w:szCs w:val="16"/>
          <w:color w:val="auto"/>
        </w:rPr>
        <w:t xml:space="preserve"> Grasping Retractor is used in procedures such as hysterectomy for cancer with lymphadenectomy, sacral colpopexy, and low anterior resection.</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Facilities and Information Technology Infrastructure. </w:t>
      </w:r>
      <w:r>
        <w:rPr>
          <w:rFonts w:ascii="Arial" w:cs="Arial" w:eastAsia="Arial" w:hAnsi="Arial"/>
          <w:sz w:val="16"/>
          <w:szCs w:val="16"/>
          <w:color w:val="auto"/>
        </w:rPr>
        <w:t>We have made investments in facilities and information technology infrastructure to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and future growth. During the year ended December 31, 2008, we purchased land and a building of approximately 78,200 square feet, in Sunnyvale, California. In addition, we began construction of a 154,000 square feet multi-use building on the land we purchased in Sunnyvale, CA during the year ended December 31, 2007. However, due to the current economic climate, we have delayed construction until 2010 at the earliest. We have also invested in information technology infrastructure to support our growth. Total capital expenditures for 2008 were $62.5 million.</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Technology Acquisitions</w:t>
      </w:r>
      <w:r>
        <w:rPr>
          <w:rFonts w:ascii="Arial" w:cs="Arial" w:eastAsia="Arial" w:hAnsi="Arial"/>
          <w:sz w:val="18"/>
          <w:szCs w:val="18"/>
          <w:color w:val="auto"/>
        </w:rPr>
        <w:t>. During the year ended December 31, 2008, we made several strategic acquisitions of intellectual property. Total investments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intellectual property during the year ended December 31, 2008 were $43.5 million, compared to $3.8 million during the year ended December 31, 2007. Amortization expenses related to purchased intellectual property for the year ended December 31, 2008 was $9.8 million, compared to $1.3 million for the year ended December 31,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years indicated, certain consolidated statements of income information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8"/>
              </w:rPr>
              <w:t>% of total</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 of 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18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revenue</w:t>
            </w: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Products</w:t>
            </w:r>
          </w:p>
        </w:tc>
        <w:tc>
          <w:tcPr>
            <w:tcW w:w="2220" w:type="dxa"/>
            <w:vAlign w:val="bottom"/>
            <w:gridSpan w:val="3"/>
          </w:tcPr>
          <w:p>
            <w:pPr>
              <w:jc w:val="right"/>
              <w:ind w:right="380"/>
              <w:spacing w:after="0"/>
              <w:rPr>
                <w:sz w:val="20"/>
                <w:szCs w:val="20"/>
                <w:color w:val="auto"/>
              </w:rPr>
            </w:pPr>
            <w:r>
              <w:rPr>
                <w:rFonts w:ascii="Arial" w:cs="Arial" w:eastAsia="Arial" w:hAnsi="Arial"/>
                <w:sz w:val="18"/>
                <w:szCs w:val="18"/>
                <w:color w:val="auto"/>
              </w:rPr>
              <w:t>$748,325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86%</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$516,089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317,599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126,594</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84,739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55,083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880"/>
              <w:spacing w:after="0"/>
              <w:rPr>
                <w:sz w:val="20"/>
                <w:szCs w:val="20"/>
                <w:color w:val="auto"/>
              </w:rPr>
            </w:pPr>
            <w:r>
              <w:rPr>
                <w:rFonts w:ascii="Arial" w:cs="Arial" w:eastAsia="Arial" w:hAnsi="Arial"/>
                <w:sz w:val="18"/>
                <w:szCs w:val="18"/>
                <w:color w:val="auto"/>
              </w:rPr>
              <w:t>Total revenue</w:t>
            </w:r>
          </w:p>
        </w:tc>
        <w:tc>
          <w:tcPr>
            <w:tcW w:w="1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874,919</w:t>
            </w:r>
          </w:p>
        </w:tc>
        <w:tc>
          <w:tcPr>
            <w:tcW w:w="3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600,828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372,682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Products</w:t>
            </w:r>
          </w:p>
        </w:tc>
        <w:tc>
          <w:tcPr>
            <w:tcW w:w="2220" w:type="dxa"/>
            <w:vAlign w:val="bottom"/>
            <w:gridSpan w:val="3"/>
          </w:tcPr>
          <w:p>
            <w:pPr>
              <w:jc w:val="right"/>
              <w:ind w:right="380"/>
              <w:spacing w:after="0"/>
              <w:rPr>
                <w:sz w:val="20"/>
                <w:szCs w:val="20"/>
                <w:color w:val="auto"/>
              </w:rPr>
            </w:pPr>
            <w:r>
              <w:rPr>
                <w:rFonts w:ascii="Arial" w:cs="Arial" w:eastAsia="Arial" w:hAnsi="Arial"/>
                <w:sz w:val="18"/>
                <w:szCs w:val="18"/>
                <w:color w:val="auto"/>
              </w:rPr>
              <w:t>$200,074</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$145,654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97,615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40,888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27,231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880"/>
              <w:spacing w:after="0"/>
              <w:rPr>
                <w:sz w:val="20"/>
                <w:szCs w:val="20"/>
                <w:color w:val="auto"/>
              </w:rPr>
            </w:pPr>
            <w:r>
              <w:rPr>
                <w:rFonts w:ascii="Arial" w:cs="Arial" w:eastAsia="Arial" w:hAnsi="Arial"/>
                <w:sz w:val="18"/>
                <w:szCs w:val="18"/>
                <w:color w:val="auto"/>
              </w:rPr>
              <w:t>Total cost of revenue</w:t>
            </w:r>
          </w:p>
        </w:tc>
        <w:tc>
          <w:tcPr>
            <w:tcW w:w="1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254,142</w:t>
            </w:r>
          </w:p>
        </w:tc>
        <w:tc>
          <w:tcPr>
            <w:tcW w:w="3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186,542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124,846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Products gross profit</w:t>
            </w:r>
          </w:p>
        </w:tc>
        <w:tc>
          <w:tcPr>
            <w:tcW w:w="2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548,251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370,435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219,984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060" w:type="dxa"/>
            <w:vAlign w:val="bottom"/>
          </w:tcPr>
          <w:p>
            <w:pPr>
              <w:ind w:left="1300"/>
              <w:spacing w:after="0"/>
              <w:rPr>
                <w:sz w:val="20"/>
                <w:szCs w:val="20"/>
                <w:color w:val="auto"/>
              </w:rPr>
            </w:pPr>
            <w:r>
              <w:rPr>
                <w:rFonts w:ascii="Arial" w:cs="Arial" w:eastAsia="Arial" w:hAnsi="Arial"/>
                <w:sz w:val="18"/>
                <w:szCs w:val="18"/>
                <w:color w:val="auto"/>
              </w:rPr>
              <w:t>Services gross profit</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72,526</w:t>
            </w:r>
          </w:p>
        </w:tc>
        <w:tc>
          <w:tcPr>
            <w:tcW w:w="3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43,851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27,852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620,777</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414,286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247,836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$230,570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$158,685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110,703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79,372</w:t>
            </w:r>
          </w:p>
        </w:tc>
        <w:tc>
          <w:tcPr>
            <w:tcW w:w="3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48,859</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29,778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309,942</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207,544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140,481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440"/>
              <w:spacing w:after="0"/>
              <w:rPr>
                <w:sz w:val="20"/>
                <w:szCs w:val="20"/>
                <w:color w:val="auto"/>
              </w:rPr>
            </w:pPr>
            <w:r>
              <w:rPr>
                <w:rFonts w:ascii="Arial" w:cs="Arial" w:eastAsia="Arial" w:hAnsi="Arial"/>
                <w:sz w:val="18"/>
                <w:szCs w:val="18"/>
                <w:color w:val="auto"/>
              </w:rPr>
              <w:t>Income from operations</w:t>
            </w:r>
          </w:p>
        </w:tc>
        <w:tc>
          <w:tcPr>
            <w:tcW w:w="1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310,835</w:t>
            </w:r>
          </w:p>
        </w:tc>
        <w:tc>
          <w:tcPr>
            <w:tcW w:w="3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206,742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107,355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income, net</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30,492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12,783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880"/>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335,203</w:t>
            </w:r>
          </w:p>
        </w:tc>
        <w:tc>
          <w:tcPr>
            <w:tcW w:w="3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237,234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120,138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92,697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48,094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880"/>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204,315</w:t>
            </w:r>
          </w:p>
        </w:tc>
        <w:tc>
          <w:tcPr>
            <w:tcW w:w="3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144,537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72,044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1840" w:type="dxa"/>
            <w:vAlign w:val="bottom"/>
            <w:gridSpan w:val="2"/>
          </w:tcPr>
          <w:p>
            <w:pPr>
              <w:jc w:val="right"/>
              <w:ind w:right="12"/>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Total revenue increased by 46%, 61% and 64% during the years ended December 31, 2008, 2007 and 2006, respectively. Revenue increased from $372.7 million during the year ended December 31, 2006 to $600.8 million during the year ended December 31, 2007 to $874.9 million during the year ended December 31, 2008. Total revenue growth was driven by the continued adoption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surgery. We believe that robotic surgery will be adopted surgical procedure by surgical procedure. Our revenue growth during the periods presented reflects adoption progress made in our target procedures. dVP has been our most successful procedure to date and has been a significant sales catalyst. An increasing body of clinical evidence has indicated dVP to offer superior surgical outcomes compared to traditional open prostatectomy in the critical categories of cancer removal, continence, and sexual potency. From 2006 through 2008, dVH has been a much faster growing procedure, at approximately 150% during 2008. Favorable clinical results have been reported in hysterectomies for cancerous pathology, which include increased lymph node retrieval counts and significant reduction in blood transfusion. For most patients, a minimally invasive approach using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offers reduced pain, less blood loss, shorter hospital stays and a quicker return to normal daily activities.</w:t>
      </w:r>
    </w:p>
    <w:p>
      <w:pPr>
        <w:spacing w:after="0" w:line="12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Revenue within the United States accounted for 78%, 78% and 83% of total revenue during the years ended December 31, 2008, 2007, and 2006, respectively. We believe domestic revenue accounts for the large majority of total revenue due largely to the competitive nature of the domestic healthcare market.</w:t>
      </w:r>
    </w:p>
    <w:p>
      <w:pPr>
        <w:spacing w:after="0" w:line="62"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 xml:space="preserve">The following table summarizes our revenue and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unit sales for the past three years (in millions, except unit sales and percentages):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p>
        </w:tc>
        <w:tc>
          <w:tcPr>
            <w:tcW w:w="1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2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60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Instruments and accessories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Systems</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product revenue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874.9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600.8</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Recurring revenue</w:t>
            </w: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3"/>
            <w:vMerge w:val="continue"/>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$419.6</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$276.4</w:t>
            </w:r>
          </w:p>
        </w:tc>
        <w:tc>
          <w:tcPr>
            <w:tcW w:w="6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of total revenue</w:t>
            </w:r>
          </w:p>
        </w:tc>
        <w:tc>
          <w:tcPr>
            <w:tcW w:w="2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$679.7</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$468.9</w:t>
            </w:r>
          </w:p>
        </w:tc>
        <w:tc>
          <w:tcPr>
            <w:tcW w:w="6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420"/>
              <w:spacing w:after="0"/>
              <w:rPr>
                <w:sz w:val="20"/>
                <w:szCs w:val="20"/>
                <w:color w:val="auto"/>
              </w:rPr>
            </w:pPr>
            <w:r>
              <w:rPr>
                <w:rFonts w:ascii="Arial" w:cs="Arial" w:eastAsia="Arial" w:hAnsi="Arial"/>
                <w:sz w:val="18"/>
                <w:szCs w:val="18"/>
                <w:color w:val="auto"/>
              </w:rPr>
              <w:t>Total revenue</w:t>
            </w:r>
          </w:p>
        </w:tc>
        <w:tc>
          <w:tcPr>
            <w:tcW w:w="2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874.9</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600.8</w:t>
            </w:r>
          </w:p>
        </w:tc>
        <w:tc>
          <w:tcPr>
            <w:tcW w:w="6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da Vinci </w:t>
            </w:r>
            <w:r>
              <w:rPr>
                <w:rFonts w:ascii="Arial" w:cs="Arial" w:eastAsia="Arial" w:hAnsi="Arial"/>
                <w:sz w:val="18"/>
                <w:szCs w:val="18"/>
                <w:b w:val="1"/>
                <w:bCs w:val="1"/>
                <w:color w:val="auto"/>
              </w:rPr>
              <w:t>Surgical System Unit Sales</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da Vinci S </w:t>
            </w:r>
            <w:r>
              <w:rPr>
                <w:rFonts w:ascii="Arial" w:cs="Arial" w:eastAsia="Arial" w:hAnsi="Arial"/>
                <w:sz w:val="18"/>
                <w:szCs w:val="18"/>
                <w:color w:val="auto"/>
              </w:rPr>
              <w:t>HD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da Vinci S </w:t>
            </w:r>
            <w:r>
              <w:rPr>
                <w:rFonts w:ascii="Arial" w:cs="Arial" w:eastAsia="Arial" w:hAnsi="Arial"/>
                <w:sz w:val="18"/>
                <w:szCs w:val="18"/>
                <w:color w:val="auto"/>
              </w:rPr>
              <w:t>4-arm</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da Vinci S </w:t>
            </w:r>
            <w:r>
              <w:rPr>
                <w:rFonts w:ascii="Arial" w:cs="Arial" w:eastAsia="Arial" w:hAnsi="Arial"/>
                <w:sz w:val="18"/>
                <w:szCs w:val="18"/>
                <w:color w:val="auto"/>
              </w:rPr>
              <w:t>3-arm</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standard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4 arm</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 xml:space="preserve">standard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3 arm</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8"/>
                <w:szCs w:val="18"/>
                <w:color w:val="auto"/>
              </w:rPr>
              <w:t>Domestic Unit Sales</w:t>
            </w:r>
          </w:p>
        </w:tc>
        <w:tc>
          <w:tcPr>
            <w:tcW w:w="1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3"/>
            <w:vMerge w:val="continue"/>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6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Unit Sales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Product revenue increased to $748.3 million during the year ended December 31, 2008 from $516.1 million during the year ended December 31,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Instruments and accessories revenue increased to $293.0 million for the year ended December 31, 2008, up 53%, compared with $191.7 million for the year ended December 31, 2007. The increase in revenue is driven by an increase in procedures performed. Procedure growth occurred in all of our targeted procedures with prostatectomy and hysterectomy being the largest drivers of growth. Utilization per installed system for the year ended December 31, 2008 also increased as compared with the year ended December 31, 2007. For established accounts in 2008, we recognized an average of $1,500 to $2,000 in instrument and accessory revenue per surgical procedure performed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Total instrument and accessory revenue per procedure was between $2,000 and $2,300 reflecting the impact of initial instrument and accessory purchases for newly installed systems. Instrument and accessory pricing remained unchanged from 2007 to 2008.</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Instrument and accessory revenue per procedure declined during 2008 due to three factors. First, the impact of initial stocking orders decreased as the proportion of new systems sold to the installed base has declined. Secondly, we had a higher mix of procedures that require fewer instruments such as benign dVH procedures. Finally, our customers are becoming more efficient in their use of instruments and accessories as their procedure volumes increase. We expect these factors to continue to cause a decrease in our ratio of instrument and accessory revenue per procedure in 2009.</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Systems revenue increased to $455.3 million during the year ended December 31, 2008 from $324.4 million during the year ended December 31, 2007 primarily due to the growth in the number of system unit sales reflecting adoption of robotic surgery. We sold 335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during 2008, compared with 241 systems sold during 2007. The 335 systems sold during 2008 consisted of 272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HD, 38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4-arm, 13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3-arm, and 12 standard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In addition, we recognized revenue from HD and fourth arm upgrades of $5.7 million during year ended December 31, 2008, compared with $4.8 million during the year ended December 31, 2007.</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Product revenue increased to $516.1 million during the year ended December 31, 2007 from $317.6 million during the year ended December 31, 2006.</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Instrument and accessory revenue increased to $191.7 million during the year ended December 31, 2007, up 72%, compared with $111.7 million during the year ended December 31, 2006. The increase was driven by an increase in procedures performed. The hysterectomy procedure was the fastest growing procedure on a percentage basis and prostatectomy was the largest volume growth procedure. For established accounts in 2007, we recognized an average of $1,500 to $2,000 in instrument and accessory revenue per surgical procedure performed with the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 Total instrument and accessory revenue per procedure was between $2,000 and $2,500 reflecting the impact of initial instrument and accessory purchases for newly installed systems. Instrument and accessory pricing remained unchanged from 2006 to 2007.</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System revenue increased to $324.4 million during the year ended December 31, 2007 from $205.9 million during the year ended December 31, 2006 due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growth in the number of systems sold, reflecting adoption of robotic surgery and increased average selling prices (“ASP”) resulting from the higher priced </w:t>
      </w:r>
      <w:r>
        <w:rPr>
          <w:rFonts w:ascii="Arial" w:cs="Arial" w:eastAsia="Arial" w:hAnsi="Arial"/>
          <w:sz w:val="16"/>
          <w:szCs w:val="16"/>
          <w:i w:val="1"/>
          <w:iCs w:val="1"/>
          <w:color w:val="auto"/>
        </w:rPr>
        <w: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Vinci S </w:t>
      </w:r>
      <w:r>
        <w:rPr>
          <w:rFonts w:ascii="Arial" w:cs="Arial" w:eastAsia="Arial" w:hAnsi="Arial"/>
          <w:sz w:val="16"/>
          <w:szCs w:val="16"/>
          <w:color w:val="auto"/>
        </w:rPr>
        <w:t>and</w:t>
      </w:r>
      <w:r>
        <w:rPr>
          <w:rFonts w:ascii="Arial" w:cs="Arial" w:eastAsia="Arial" w:hAnsi="Arial"/>
          <w:sz w:val="16"/>
          <w:szCs w:val="16"/>
          <w:i w:val="1"/>
          <w:iCs w:val="1"/>
          <w:color w:val="auto"/>
        </w:rPr>
        <w:t xml:space="preserve"> da Vinci S </w:t>
      </w:r>
      <w:r>
        <w:rPr>
          <w:rFonts w:ascii="Arial" w:cs="Arial" w:eastAsia="Arial" w:hAnsi="Arial"/>
          <w:sz w:val="16"/>
          <w:szCs w:val="16"/>
          <w:color w:val="auto"/>
        </w:rPr>
        <w:t>HD Surgical Systems, and favorable foreign exchange impact of Euro-denominated sales. We sold 241</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Surgical Systems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2007, compared with 170 systems sold during 2006. The 241 systems sold during 2007 consisted of 160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HD, 59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4-arm, 6 </w:t>
      </w:r>
      <w:r>
        <w:rPr>
          <w:rFonts w:ascii="Arial" w:cs="Arial" w:eastAsia="Arial" w:hAnsi="Arial"/>
          <w:sz w:val="16"/>
          <w:szCs w:val="16"/>
          <w:i w:val="1"/>
          <w:iCs w:val="1"/>
          <w:color w:val="auto"/>
        </w:rPr>
        <w:t>da Vinci S</w:t>
      </w:r>
      <w:r>
        <w:rPr>
          <w:rFonts w:ascii="Arial" w:cs="Arial" w:eastAsia="Arial" w:hAnsi="Arial"/>
          <w:sz w:val="16"/>
          <w:szCs w:val="16"/>
          <w:color w:val="auto"/>
        </w:rPr>
        <w:t xml:space="preserve"> 3-arm,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16 standard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In addition, we recognized revenue from HD and fourth arm upgrades of $4.8 million during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31, 2007, compared with $4.5 million during the year ended December 31, 2006. The average revenue recognized per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system sold increased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$1.33 million in 2007, compared to $1.18 million in 2006.</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 Revenue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Service revenue, comprised primarily of system service, increased to $126.6 million for the year ended December 31, 2008 from $84.7 million for the year ended December 31, 2007. We typically enter into service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contracts at the time the system is sold. These service contracts have been generally renewed at the end of the service period. Higher service revenue for 2008 was driven by a larger base of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producing contract service revenue and higher revenue earned per system under service contract. The average service revenue per system was approximately $139,000 during the year ended December 31, 2008 compared with $133,000 during the year ended December 31, 2007.</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Service revenue increased to $84.7 million for the year ended December 31, 2007 from $55.1 million for the year ended December 31, 2006. Higher 2007 system service revenue was driven by a larger base of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producing contract service revenue and higher revenue earned per system under service contract. The average service revenue per system was approximately $133,000 during the year ended December 31, 2007 compared with $122,000 during the year ended December 31, 2006. The increase in service revenue per system was driven by a higher percentage of the installed base being comprised of </w:t>
      </w:r>
      <w:r>
        <w:rPr>
          <w:rFonts w:ascii="Arial" w:cs="Arial" w:eastAsia="Arial" w:hAnsi="Arial"/>
          <w:sz w:val="16"/>
          <w:szCs w:val="16"/>
          <w:i w:val="1"/>
          <w:iCs w:val="1"/>
          <w:color w:val="auto"/>
        </w:rPr>
        <w:t>da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Vinci S </w:t>
      </w:r>
      <w:r>
        <w:rPr>
          <w:rFonts w:ascii="Arial" w:cs="Arial" w:eastAsia="Arial" w:hAnsi="Arial"/>
          <w:sz w:val="16"/>
          <w:szCs w:val="16"/>
          <w:color w:val="auto"/>
        </w:rPr>
        <w:t>and</w:t>
      </w:r>
      <w:r>
        <w:rPr>
          <w:rFonts w:ascii="Arial" w:cs="Arial" w:eastAsia="Arial" w:hAnsi="Arial"/>
          <w:sz w:val="16"/>
          <w:szCs w:val="16"/>
          <w:i w:val="1"/>
          <w:iCs w:val="1"/>
          <w:color w:val="auto"/>
        </w:rPr>
        <w:t xml:space="preserve"> da Vinci S </w:t>
      </w:r>
      <w:r>
        <w:rPr>
          <w:rFonts w:ascii="Arial" w:cs="Arial" w:eastAsia="Arial" w:hAnsi="Arial"/>
          <w:sz w:val="16"/>
          <w:szCs w:val="16"/>
          <w:color w:val="auto"/>
        </w:rPr>
        <w:t>HD Surgical Systems, which carry a higher contractual service rate than standard model</w:t>
      </w:r>
      <w:r>
        <w:rPr>
          <w:rFonts w:ascii="Arial" w:cs="Arial" w:eastAsia="Arial" w:hAnsi="Arial"/>
          <w:sz w:val="16"/>
          <w:szCs w:val="16"/>
          <w:i w:val="1"/>
          <w:iCs w:val="1"/>
          <w:color w:val="auto"/>
        </w:rPr>
        <w:t xml:space="preserve"> da Vinci </w:t>
      </w:r>
      <w:r>
        <w:rPr>
          <w:rFonts w:ascii="Arial" w:cs="Arial" w:eastAsia="Arial" w:hAnsi="Arial"/>
          <w:sz w:val="16"/>
          <w:szCs w:val="16"/>
          <w:color w:val="auto"/>
        </w:rPr>
        <w:t>Systems.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Product gross profit during the year ended December 31, 2008 was $548.3 million, or 73% of product revenue, compared to $370.4 million, or 72% of product revenue, during the year ended December 31, 2007. The higher 2008 product gross profit was driven by the higher 2008 product revenue, as described above. The higher 2008 product gross profit percentage was driven by instrument and system material cost reductions and leveraging manufacturing costs across higher production volumes. Product gross profit for the year ended December 31, 2008 and 2007 reflected stock-based compensation expense of $6.3 million and $3.5 million, respectively.</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Product gross profit for the year ended December 31, 2007 was $370.4 million, or 72% of product revenue, compared to $220.0 million, or 69% of product revenue, during the year ended December 31, 2006. The higher 2007 product gross profit percentage was driven by the higher 2007 </w:t>
      </w:r>
      <w:r>
        <w:rPr>
          <w:rFonts w:ascii="Arial" w:cs="Arial" w:eastAsia="Arial" w:hAnsi="Arial"/>
          <w:sz w:val="16"/>
          <w:szCs w:val="16"/>
          <w:i w:val="1"/>
          <w:iCs w:val="1"/>
          <w:color w:val="auto"/>
        </w:rPr>
        <w:t>da Vinci</w:t>
      </w:r>
      <w:r>
        <w:rPr>
          <w:rFonts w:ascii="Arial" w:cs="Arial" w:eastAsia="Arial" w:hAnsi="Arial"/>
          <w:sz w:val="16"/>
          <w:szCs w:val="16"/>
          <w:color w:val="auto"/>
        </w:rPr>
        <w:t xml:space="preserve"> Surgical Systems ASPs, instrument and system material cost reductions and leveraging manufacturing costs across higher production volumes. Product gross profit during the years ended December 31, 2007 and 2006 reflected stock-based compensation expense of $3.5 million and $2.4 million, respectively.</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Service gross profit during the year ended December 31, 2008 was $72.5 million, or 57% of service revenue, compared to $43.9 million, or 52% of service revenue during the year ended December 31, 2007. The higher 2008 service gross profit was driven by a larger installed base. The higher 2008 gross service profit percentage was driven by leveraging service costs across a larger base of installed systems and lower service parts consumption and repair costs per system due to product quality and productivity gains. Service gross profit during the years ended December 31, 2008 and 2007 reflected stock-based compensation expense of $5.1 million and $2.3 million, respectively.</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Service gross profit during the year ended December 31, 2007 was $43.9 million, or 52% of service revenue, compared to $27.9 million, or 51% of service revenue during the year ended December 31, 2006. The higher 2007 service gross profit reflect leveraging costs over a greater installed base. Service gross profit during the years ended December 31, 2007 and 2006 reflected stock-based compensation expense of $2.3 million and $1.5 million, respectively.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Selling, general and administrative expenses include costs for sales, marketing and administrative personnel, sales and marketing activities, tradeshow expenses, legal expenses, regulatory fees and general corporate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Selling, general and administrative expenses for the year ended December 31, 2008 increased 45% to $230.6 million compared to $158.7 million for the year ended December 31, 2007. The increase is due to organizational growth to support our expanding business, higher commissions and other variable compensation related to higher revenue levels, and increased stock-based compensation. Stock-based compensation expense charged to sales, general and administrative expenses during the years ended December 31, 2008 and 2007 were $48.2 million and $22.6 million, respectively.</w:t>
      </w:r>
    </w:p>
    <w:p>
      <w:pPr>
        <w:spacing w:after="0" w:line="113"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Selling, general and administrative expenses during the year ended December 31, 2007 were $158.7 million, up 43% from $110.7 million during the year ended December 31, 2006. The increase is due to organizational growth to support our expanding business, higher commissions and other variable compensation related to higher revenue levels, increased stock-based compensation and international reorganization costs. Stock-based compensation expense charged to sales, general and administrative expenses during the years ended December 31, 2007 and 2006 were $22.6 million and $16.0 million, respectively.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expenses include costs associated with the design, development, testing and significant enhancement of our products.</w:t>
      </w:r>
    </w:p>
    <w:p>
      <w:pPr>
        <w:spacing w:after="0" w:line="13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Research and development expenses during the year ended December 31, 2008 increased $62% to $79.4 million compared to $48.9 million during the year ended December 31, 2007. The increase is due to the growth in our research and development organization, higher costs related to co-development licensing arrangements, higher amortization expenses of purchased intellectual property, higher prototype expenses, and higher stock-based compensation expense. Amortization expenses related to purchased intellectual property during the year ended December 31, 2008 was $9.8 million, compared to $1.3 million during the year ended December 31, 2007. Stock-based compensation expense charged to research and development expense during the years ended December 31, 2008 and 2007 were $17.1 million and $8.0 million, respectively. We expect to continue to make substantial investments in research and development and anticipate that research and development expenses, including the co-development arrangement with industry partners, will continue to increase in the future.</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Research and development expenses during the year ended December 31, 2007 were $48.9 million, compared to $29.8 million during the year ended December 31, 2006. The increase is due to the growth in our research and development organization costs associated with co-development arrangements, higher prototype expenses, and stock-based compensation expense. Stock-based compensation expense charged to research and development expense during the years ended December 31, 2007 and 2006 were $8.0 million and $5.4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Interest and other income, net, was $24.4 million during the year ended December 31, 2008, compared to $30.5 million for the year ended December 31, 2007. The decline of $6.1 million during the year ended December 31, 2008 was due to the non-recurring gain on sale of equity securities of $4.1 million recorded during the year ended December 31, 2007. In addition, we recorded a foreign exchange loss of $1.5 million during the year ended December 31, 2008 compared with a foreign exchange gain of $3.1 million during the year ended December 31, 2007. Our foreign exchange loss during fiscal 2008 was primarily due to the impact of the strengthening U.S. dollar on Euro-based cash and accounts receivable balances, compared to gains resulting from a weakening U.S. dollar in the prior year. In addition, we earned higher interest income, net of $2.2 million during the year ended December 31, 2008 compared with the same period in 2007, reflecting increased investment balance offset by declining interest rates. Interest and other income, net during the year ended December 31, 2008 included a gain of $11.6 million from the Right offered by UBS, largely offset by the losses recorded on the auction rate securities from UBS due to a reclassification of these securities from available-for-sale to trading.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other income, net, was $30.5 million during the year ended December 31, 2007, compared to $12.8 million for the year ended December 31,</w:t>
      </w:r>
    </w:p>
    <w:p>
      <w:pPr>
        <w:spacing w:after="0" w:line="38"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2006. The increase of $17.7 million during the year ended December 31, 2007 resulted from $11.7 million of interest income earned on higher cash and investment balances and higher interest rates, $4.1 million of gain on the sale of investments in publicly-traded equity securities and $1.9 million of foreign exchange gains.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income tax expense was $130.9 million, $92.7 million, and $48.1 million during the years ended December 31, 2008, 2007, and 2006, respectively. The effective tax rate for 2008 was approximately 39.0%, which differed from the U.S. federal statutory rate of 35% due primarily to state income taxes net of federal benefit and non-deductible stock option compensation, partially offset by research and development tax credit and domestic production deductions generated in 2008. The effective tax rate for 2007 was approximately 39.1%, which differed from the U.S. federal statutory rate of 35% due primarily to state income taxes net of federal benefit, partially offset by research and development tax credit generated in 2007. The effective tax rate for 2006 was approximately 40.0%, which differed from the U.S. federal statutory rate of 35% primarily as a result of state income taxes net of federal benefit. A significant portion of the income taxes recorded during years ended December 31, 2008, 2007 and 2006 did not result in cash outlays during the years due to the utilization of net operating loss carryforwards and tax credit carryforwards as well as tax deductions related to employee stock options.</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2008, the Company did not have significant federal and state net operating loss carry forwards that can be utilized to offset future taxable income.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the Company had no recognized research credit carry forwards for both federal and California tax purposes.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Cash generation is one of the fundamental strengths of our business model and provides us with substantial financial flexibility in meeting our operating, investing and financing needs. Our principal source of liquidity is cash provided by operations and the exercise of stock options. Cash and cash equivalents plus short and long-term investments increased from $330.3 million at December 31, 2006, to $635.4 million at December 31, 2007, to $901.9 at December 31, 2008. The increase in cash and cash equivalents in fiscal year 2008 was primarily due to $278.2 million of cash generated from operating activities, $44.7 million of cash provided by stock option exercises and employee stock purchases, and $53.3 million of realized excess tax benefits from share-based compensation offset by cash used for capital expenditures of $106.0 million.</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Item 7A. Quantitative and Qualitative Disclosures About Market Risk for discussion on impact of interest rate risk and market risk on our investment portfolio.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Cash Flow Data</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left="282"/>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278,235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205,687</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(304,528)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(236,400)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(113,353)</w:t>
            </w: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97,980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118,847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Effect of exchange rates on cash and cash equivalents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440"/>
              <w:spacing w:after="0"/>
              <w:rPr>
                <w:sz w:val="20"/>
                <w:szCs w:val="20"/>
                <w:color w:val="auto"/>
              </w:rPr>
            </w:pPr>
            <w:r>
              <w:rPr>
                <w:rFonts w:ascii="Arial" w:cs="Arial" w:eastAsia="Arial" w:hAnsi="Arial"/>
                <w:sz w:val="18"/>
                <w:szCs w:val="18"/>
                <w:color w:val="auto"/>
              </w:rPr>
              <w:t>Net increase in cash and cash equivalents</w:t>
            </w:r>
          </w:p>
        </w:tc>
        <w:tc>
          <w:tcPr>
            <w:tcW w:w="2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vMerge w:val="continue"/>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71,798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88,435</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28,882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20" w:type="dxa"/>
            <w:vAlign w:val="bottom"/>
            <w:vMerge w:val="restart"/>
          </w:tcPr>
          <w:p>
            <w:pPr>
              <w:jc w:val="right"/>
              <w:ind w:right="1872"/>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During the year ended December 31, 2008, cash flow from operations of $278.2 million exceeded our net income of $204.3 million for two primary reasons:</w:t>
      </w:r>
    </w:p>
    <w:p>
      <w:pPr>
        <w:spacing w:after="0" w:line="51" w:lineRule="exact"/>
        <w:rPr>
          <w:sz w:val="20"/>
          <w:szCs w:val="20"/>
          <w:color w:val="auto"/>
        </w:rPr>
      </w:pPr>
    </w:p>
    <w:p>
      <w:pPr>
        <w:ind w:left="900" w:right="3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net income included substantial non-cash charges in the form of stock compensation, taxes, and depreciation and amortization of long-lived assets. These non-cash charges totaled $83.9 million.</w:t>
      </w:r>
    </w:p>
    <w:p>
      <w:pPr>
        <w:spacing w:after="0" w:line="5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experienced rapid growth in our business with revenues increasing 46% during the year ended December 31, 2008. Our net investment in working capital and other operating assets totaled $9.9 million.</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Working capital is comprised primarily of accounts receivable, inventory, deferred revenue and other current liabilities. Accounts receivable increased $39.7 million or 30% in 2008, reflecting increased revenue and the timing of system sales. Inventory increased $31.1 million or 96% in 2008 primarily due to lower than expected system revenue in the fourth quarter of fiscal 2008. Deferred revenue, which includes deferred service contract revenue that is being amortized over the service contract period, increased $24.6 million or 45% in 2008, which is primarily related to the increase in the number of installed systems for which service contracts exist. Other liabilities including accounts payable, accrued compensation and employee benefits, and accrued liabilities increased $32.3 million or 34% in 2008, reflecting changes in the volume of our business, timing of vendor payments and increase in unrecognized tax benefits.</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During the year ended December 31, 2007, cash flow from operations of $205.7 million exceeded our net income of $144.5 million for two primary reasons:</w:t>
      </w:r>
    </w:p>
    <w:p>
      <w:pPr>
        <w:spacing w:after="0" w:line="51" w:lineRule="exact"/>
        <w:rPr>
          <w:sz w:val="20"/>
          <w:szCs w:val="20"/>
          <w:color w:val="auto"/>
        </w:rPr>
      </w:pPr>
    </w:p>
    <w:p>
      <w:pPr>
        <w:ind w:left="900" w:right="16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net income included substantial non-cash charges in the form of stock compensation, taxes, and depreciation and amortization of long-lived assets. These non-cash charges totaled $59.1 million. Also included in our net income is approximately $4.1 million of gain on the sale of publicly-traded equity securities which has been classified as an investing activity.</w:t>
      </w:r>
    </w:p>
    <w:p>
      <w:pPr>
        <w:spacing w:after="0" w:line="59"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experienced rapid growth in our business with revenues increasing 61% in 2007. However, our net investment in working capital and other operating assets totaled only $2.1 million.</w:t>
      </w:r>
    </w:p>
    <w:p>
      <w:pPr>
        <w:spacing w:after="0" w:line="1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Working capital is comprised primarily of accounts receivable, inventory, other current assets, deferred revenue and other current liabilities. Accounts receivable increased $35.7 million or 38% in 2007, reflecting increased revenue and the timing of system sales. Inventory increased $8.2 million or 34% in 2007 due to increased sales volume. Other assets increased by $6.8 million or 99% in 2007, reflecting the timing of payments. Deferred revenue, which includes deferred service contract revenue that is being amortized over the service contract period, increased $17.3 million or 46% in 2007, which is primarily related to the increase in the number of installed systems for which service contracts exist. Other liabilities including accounts payable, accrued compensation and employee benefits, and accrued liabilities increased $35.3 million or 79% in 2007, reflecting changes in the volume of our business and timing of vendor payments.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2006, cash flow from operations of $99.8 million exceeded our net income of $72.0 million for two primary reasons:</w:t>
      </w:r>
    </w:p>
    <w:p>
      <w:pPr>
        <w:spacing w:after="0" w:line="113" w:lineRule="exact"/>
        <w:rPr>
          <w:sz w:val="20"/>
          <w:szCs w:val="20"/>
          <w:color w:val="auto"/>
        </w:rPr>
      </w:pPr>
    </w:p>
    <w:p>
      <w:pPr>
        <w:ind w:left="900" w:right="38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net income included substantial non-cash charges in the form of stock compensation, taxes, and depreciation and amortization of long-lived assets. These non-cash charges totaled $56.0 million.</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experienced rapid growth in our business with revenues increasing 64% in 2006. This growth required investment in working capital, particularly accounts receivable and inventory. Our net investment in working capital and other operating assets totaled $28.2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cash used in investing activities during the years ended December 31, 2008, 2007, and 2006 consisted primarily of purchases of investments (net of proceeds from sales and maturities of investments) of $198.6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$212.4 million, and $95.3 million, respectively, and purchases of property and equipment and licensing of intellectual property of $106.0 million, $24.0 million, and $18.1 million, respectively. We invest predominantly in high quality, fixed income securities. Our investment portfolio may at any time contain investments in U.S Treasury and U.S. government agency securities, taxable and/or tax exempt municipal notes (some of which may have an auction reset feature), corporate notes and bonds, commercial paper, and money market funds. As of December 31, 2008, the current yield to maturity on our investment portfolio is approximately 3%. We are not a capital-intensive business. Our purchases of property and equipment in 2008, 2007, and 2006 related mainly to facilities and information technology infrastructure to support capacity expansion in our business. Similarly, our investments of $43.5 million in acquired intellectual property rights are for use in the development of robotic surgical products.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provided by financing activities in 2008, 2007 and 2006 consisted primarily of proceeds from stock options, employee stock purchases and warrants exercises of $44.7 million, $56.0 million and $19.1 million, respectively, and excess tax benefits from stock-based compensation of $53.3 million, $62.9 million and $23.0 million, respectively. The decrease in proceeds from stock options and employee stock purchases during the year ended December 31, 2008 was primarily due to lower stock price during the fourth quarter of fiscal 2008.</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capital requirements depend on numerous factors, including market acceptance of our products, the resources we devote to developing and supporting our products and other factors. We expect to devote substantial capital resources to continue our research and development efforts, to expand our customer support and product development activities and for other general corporate activities. During 2008, despite the economic downturn, we experienced significant business expansion. We increased revenue by 46%, invested in new facilities, invested in several intellectual property rights, and increased our headcount by 37%. We generated $204.3 million of net income, which represented the major driver of the net cash provided by operating activities in 2008. Based upon our business model, we anticipate that we will continue to be able to fund future growth through cash provided from operations. We believe that our current cash, cash equivalents and investment balances, together with income to be derived from the sale of our products, will be sufficient to meet our liquidity requirements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2008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 1</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1 to 3 years</w:t>
            </w:r>
          </w:p>
        </w:tc>
        <w:tc>
          <w:tcPr>
            <w:tcW w:w="50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3 to 5 years</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 commitments and obligations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137,936</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116,295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20,391</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140,892</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117,593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22,013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Operating leases: We lease office spaces in the United States, Switzerland, and Mexico. We also lease automobiles for certain employees. Operating lease amounts include future minimum lease payments under all our noncancelable operating leases with an initial term in excess of one year.</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Purchase commitments and obligations. These amounts include an estimate of all open purchase orders and contractual obligations in the ordinary course of business, including commitments with contract manufacturers and suppliers, for which we have not received the goods or services and acquisition and licensing of intellectual property.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Other commitments. Effective January 1, 2007, the Company adopted the provisions of FIN 48. We are unable to make a reasonably reliable estimate as to when payments may occur for our unrecognized tax benefits. Therefore, our liability for unrecognized tax benefits is not included in the table above. See Note 9 of notes to the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As of December 31, 2008, we did not have any significant off-balance-sheet arrangements, as defined in Item 303(a)(4)(ii) of SEC Regulation S-K promulgated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Our consolidated financial statements are prepared in conformity with generally accepted accounting principles in the United States, or GAAP, which requires us to make judgments, estimates and assumptions.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Notes to the Consolidated Financial Statements, which is included in Item 8. Financial Statements and Supplementary Data, describes our significant accounting policies and methods used in the preparation of our consolidated financial statements. The methods, estimates and judgments that we use in applying our accounting policies require us to make difficult and subjective judgments, often as a result of the need to make estimates regarding matters that are inherently uncertain. Our most critical accounting estimates include:</w:t>
      </w:r>
    </w:p>
    <w:p>
      <w:pPr>
        <w:spacing w:after="0" w:line="63" w:lineRule="exact"/>
        <w:rPr>
          <w:sz w:val="20"/>
          <w:szCs w:val="20"/>
          <w:color w:val="auto"/>
        </w:rPr>
      </w:pPr>
    </w:p>
    <w:p>
      <w:pPr>
        <w:ind w:left="900" w:right="5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valuation and recognition of investments, which impacts our investment portfolio balance when we assess fair value, and interest and other income, net, when we record impairments;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valuation of revenue and accounts receivable, which impacts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valuation of inventory, which impacts gross margins;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assessment of recoverability of intangibles and the estimated useful lives, which primarily impacts gross margin or operating expenses when we record asset impairments or accelerate their amortization;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and operating expenses; and</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taxes (including the measurement of uncertain tax positions), which impact our provision for taxes.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in Debt Securities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 portfolio may at any time contain investments in U.S Treasury and U.S. government agency securities, taxable and/or tax exempt municipal notes (some of which may have an auction reset feature), corporate notes and bonds, commercial paper, and money market funds. In the current market environment, the assessment of the fair value of the debt securities can be difficult and subjective. The volume of trading activity of certain debt instruments has declined, and the rapid changes occurring in today’s financial markets can lead to changes in the fair value of financial instruments in the relatively short periods of time. Financial Accounting Standards Board (FASB)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establishes three levels of inputs that may be used to measure fair value (see “Note 3: Investments and Fair Value Measurements” in the Notes to the Consolidated Financial Statements of this Form 10-K). Each level of input has different levels of subjectivity and difficulty involved in determining fair value.</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Level 1 instruments generally represent quoted prices in active markets. Therefore, determining fair value for Level 1 instruments generally does not require significant management judgment, and the estimation is not difficult.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Level 2 instruments include inputs other than Level 1 that are observable, either directly or indirectly, such as quoted prices for similar assets or liabilities; quoted prices for identical instruments in markets that are not active; or other inputs that are observable or can be corroborated by observable market data for substantially the full term of the assets or liabilities.</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Level 3 instruments include unobservable inputs that are supported by little or no market activity and that are significant to the fair value of the assets or liabilities. The determination of fair value for Level 3 instruments requires the most management judgment and subjectivity.</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All of the securities classified as Level 3 instruments are municipal bonds with an auction reset feature (“auction rate securities” or “ARS”) whose underlying assets are student loans which are substantially backed by the federal government. These ARS securities represent approximately 10% of our total investment portfolio. In February 2008, auctions began to fail for these securities and each auction since then has failed. Consequently, the investments are not currently liquid. Typically, the fair value of ARS investments approximates par value due to the frequent interest rate resets associated with the auction process. As a result of the auction market cessation, we continue to earn interest on our ARS investments at the contractual rate. Currently, there is not an active market for these securities, and therefore they do not have a readily determinable market value. Accordingly, the estimated fair value of the ARS no longer approximates par value. At December 31, 2008, our investment advisors provided a valuation for the ARS investments utilizing a discounted cash flow approach to arrive at this valuation, which was corroborated by a separate and comparable discounted cash flow analysis we prepared internally. Based on this Level 3 valuation, we valued the ARS investments at $79.1 million, which represents a decline in value of $15.6 million from par. The assumptions used in preparing the discounted cash flow model include estimates of, based on data available as of December 31, 2008, interest rates, timing and amount of cash flows, credit and liquidity premiums, and expected holding periods of the ARS. Given the current market environment, these assumptions are volatile and subject to change, thereby could result in significant changes to the fair value of ARS.</w:t>
      </w:r>
    </w:p>
    <w:p>
      <w:pPr>
        <w:spacing w:after="0" w:line="12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November 2008, we accepted an offer (the “Right”) from UBS AG (“UBS”), one of our investment providers, entitling us to sell at par value auction-rate securities originally purchased from UBS (approximately $71.2 million of par value) at anytime during a two-year period from June 30, 2010 through July 2, 2012. In accepting the Right, we granted UBS the authority to sell or auction the ARS at par at any time up until the expiration date of the offer and released UBS from any claims relating to the marketing and sale of ARS. Although we expect to sell our ARS under the Right, if the Right is not exercised before July 2, 2012 it will expire and UBS will have no further rights or obligation to buy our ARS. In lieu of our acceptance of the Right, ARS will continue to accrue and pay interest as determined by the auction process or the terms specified in the prospectus of the ARS if the auction process fails. UBS’s obligations under the Right are not secured by its assets and do not require UBS to obtain any financing to support its performance obligations under the Rights. UBS has disclaimed any assurance that it will have sufficient financial resources to satisfy its obligations under the Rights. If UBS has insufficient funding to buy back the ARS and the auction process continues to fail, then we may incur further losses on the carrying value of the ARS.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enforceability of the Right results in a put option and is recognized as a separate freestanding instrument that is accounted for separately from the ARS investment. We elected to account for this put option at fair value under FASB Statement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(SFAS 159). We valued the put option using a discounted cash flow approach including estimates of, based on data available as of December 31, 2008, interest rates, timing and amount of cash flow, adjusted for any bearer risk associated with UBS’s financial ability to repurchase the ARS beginning June 30, 2010. Any change in these assumptions and market conditions would affect the value of this Right. The value of the put option of $11.6 million, which largely offsets the unrealized loss on the ARS securities subject to the Right is included in the Consolidated Balance Sheet as of December 31, 2008 as long-term investments and on the Statement of Income together with the unrealized loss on the ARS subject to the Right for the year ended December 31, 2008 as Interest and Other Income, net. We believe that subsequent changes in the value of the put option will largely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offset the subsequent fair value movements of the ARS, subject to the continued expected performance by the financial institution of its obligations under the agreement.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remaining ARS is held by another investment advisor, who has not made an offer similar to UBS and we continue to classify them as available-for-sale securities. Accordingly, the change in associated market value has been recorded against other comprehensive income during the year ended December 31, 2008. If the market conditions deteriorate further, we may be required to record additional unrealized losses in other comprehensive income or impairment charges. We may not be able to liquidate these investments unless the issuer calls the security, a successful auction occurs, a buyer is found outside of the auction process, or the security matures.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Other-than-temporary impairment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After determining the fair value of our available-for-sales debt instruments, gains or losses on these securities are recorded to other comprehensive income, until either the security is sold or we determine that the decline in value is other-than-temporary. The primary differentiating factors considered by us to classify its impairments between temporary and other-than-temporary impairments are our intent and ability to retain our investment in the issuer for a period of time sufficient to allow for any anticipated recovery in market value, the length of the time and the extent to which the market value of the investment has been less than cost, the financial condition and near-term prospects of the issuer. Given the current market conditions, these judgments could prove to be wrong, and companies with relatively high credit ratings and solid financial conditions may not be able to fulfill their obligations.</w:t>
      </w:r>
    </w:p>
    <w:p>
      <w:pPr>
        <w:spacing w:after="0" w:line="12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No impairment charges were recorded during the years ended December 31, 2008, 2007 and 2006. As of December 31, 2008 and 2007, our cumulative unrealized gains (losses) related to our investments classified as available-for-sale was approximately $(3.2) million and 0.4 million, respectively. These unrecognized losses could be recognized in the future if our other-than-temporary assessment changes.</w:t>
      </w:r>
    </w:p>
    <w:p>
      <w:pPr>
        <w:spacing w:after="0" w:line="107"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Allowance for sales returns and doubtful accounts. </w:t>
      </w:r>
      <w:r>
        <w:rPr>
          <w:rFonts w:ascii="Arial" w:cs="Arial" w:eastAsia="Arial" w:hAnsi="Arial"/>
          <w:sz w:val="15"/>
          <w:szCs w:val="15"/>
          <w:color w:val="auto"/>
        </w:rPr>
        <w:t>We record estimated reductions in revenue for potential returns of products by customers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allowances. As a result, management must make estimates of potential future product returns and other allowances related to current period product revenue. In making such estimates, management analyzes historical returns, current economic trends and changes in customer demand and acceptance of our products. If management were to make different judgments or utilize different estimates, material differences in the amount of reported revenue could result.</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Similarly, management makes estimates of the uncollectibility of accounts receivables, especially analyzing accounts receivable and historical bad debts, customer concentrations, customer credit-worthiness, current economic trends and changes in customer payment terms, when evaluating the adequacy of the allowance for doubtful accounts. Credit evaluations are undertaken for all major sale transactions before shipment is authorized. On a quarterly basis, we evaluate aged items in the accounts receivable aging report and provide allowance in an amount we deem adequate for doubtful accounts. If management were to make different judgments or utilize different estimates, material differences in the amount of our reported operating expenses could result.</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Inventory valuation. </w:t>
      </w:r>
      <w:r>
        <w:rPr>
          <w:rFonts w:ascii="Arial" w:cs="Arial" w:eastAsia="Arial" w:hAnsi="Arial"/>
          <w:sz w:val="16"/>
          <w:szCs w:val="16"/>
          <w:color w:val="auto"/>
        </w:rPr>
        <w:t>Inventory is stated at the lower of cost or market, with cost determined on a first-in, first-out basis. The carrying value of inventory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reduced for estimated obsolescence by the difference between its cost and the estimated market value based upon assumptions about future demand. We evaluate the inventory carrying value for potential excess and obsolete inventory exposures by analyzing historical and anticipated demand. If actual future demand or market conditions are less favorable than those projected by management, additional inventory write-downs may be required in the future, which could have a material adverse effect on our results of operations.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Our intangible assets include identifiable intangibles and goodwill. Identifiable intangibles include developed technology, patents,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licenses. All of our identifiable intangibles have finite lives.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FASB Statement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(SFAS 142) provides that goodwill and intangible assets with indefinite lives are subject to an annual impairment review (or more frequent if impairment indicators arise) by applying a fair-value based test. There have been no impairments from the analysis required by SFAS 142.</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Identifiable intangible assets with finite lives are subject to impairment testing as prescribed by FASB Statement No. 144, “</w:t>
      </w:r>
      <w:r>
        <w:rPr>
          <w:rFonts w:ascii="Arial" w:cs="Arial" w:eastAsia="Arial" w:hAnsi="Arial"/>
          <w:sz w:val="16"/>
          <w:szCs w:val="16"/>
          <w:i w:val="1"/>
          <w:iCs w:val="1"/>
          <w:color w:val="auto"/>
        </w:rPr>
        <w:t>Accounting for the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or Disposal of Long-Lived Assets</w:t>
      </w:r>
      <w:r>
        <w:rPr>
          <w:rFonts w:ascii="Arial" w:cs="Arial" w:eastAsia="Arial" w:hAnsi="Arial"/>
          <w:sz w:val="16"/>
          <w:szCs w:val="16"/>
          <w:color w:val="auto"/>
        </w:rPr>
        <w:t>” (SFAS 144). Pursuant to the provisions of SFAS 144, identifiable intangibles with finite lives are reviewed for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when events or circumstances indicate that such assets may not be recoverable at their carrying value. We evaluate the recoverability of the carrying value of these identifiable intangibles based on estimated undiscounted cash flows to be generated from such assets. If the cash flow estimates or the significant operating assumptions upon which they are based change in the future, we may be required to record additional impairment charges. When events or changes in circumstances indicate that the carrying amount of long-lived assets may not be recoverable, we recognize such impairment in the event the net book value of such assets exceeds the future undiscounted cash flows attributable to such assets.</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intangible assets and goodwill on our balance sheet related to the acquisition of Computer Motion, Inc. and the acquisition of other intellectual property. The valuation and classification of these assets and the assignment of useful amortization lives involves judgments and the use of estimates. The evaluation of these intangibles and goodwill for impairment under established accounting guidelines is required on a recurring basis. Changes in business conditions could potentially require future adjustments to asset valuations. When we determine that the useful lives of assets are shorter than we had originally estimated, we accelerate the rate of depreciation over the assets’ new, shorter useful lives. We conducted the required intangible assets impairment review during the fourth quarter of 2008. No impairment charge or accelerated amortization was recorded for the years ended December 31, 2008, 2007 and 2006. A considerable amount of judgment is required in assessing impairment, which includes financial forecasts. Should conditions be different from management’s current estimates, material write-downs of long-lived assets may be required, which would adversely affect our operating results.</w:t>
      </w:r>
    </w:p>
    <w:p>
      <w:pPr>
        <w:spacing w:after="0" w:line="11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frequently enter into revenue arrangements that contain multiple elements or deliverables such as system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Judgments as to the allocation of the proceeds received from an arrangement to the multiple elements of the arrangement, the determination of whether any undelivered elements are essential to the functionality of the delivered elements and the appropriate timing of revenue recognition are critical in respect to these arrangements to ensure compliance with GAAP. Changes to the elements in an arrangement and the ability to establish objective and reliable evidence of fair value for those elements could affect the timing of revenue recognition. Revenue recognition also depends on the timing of shipment and is subject to customer acceptance. If shipments are not made on scheduled timelines or if the products are not accepted by the customer in a timely manner, our reported revenues may differ materially from expectations.</w:t>
      </w:r>
    </w:p>
    <w:p>
      <w:pPr>
        <w:spacing w:after="0" w:line="11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Accounting for stock options. </w:t>
      </w:r>
      <w:r>
        <w:rPr>
          <w:rFonts w:ascii="Arial" w:cs="Arial" w:eastAsia="Arial" w:hAnsi="Arial"/>
          <w:sz w:val="16"/>
          <w:szCs w:val="16"/>
          <w:color w:val="auto"/>
        </w:rPr>
        <w:t>We account for stock-based compensation in accordance with the fair value recognition provisions of SFAS 123(R). We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Black-Scholes-Merton option-pricing model which requires the input of highly subjective assumptions. These assumptions include estimating the length of time employees will retain their vested stock options before exercising them, the estimated volatility of the our common stock price over the expected term and the number of options that will ultimately not complete their vesting requirements. The assumptions for expected volatility and expected term are the two assumptions that significantly affect the grant date fair value. Changes in expected risk-free rate of return do not significantly impact the calculation of fair value, and determining this input is not highly subjective.</w:t>
      </w:r>
    </w:p>
    <w:p>
      <w:pPr>
        <w:spacing w:after="0" w:line="12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use implied volatility based on freely traded options in the open market, as we believe implied volatility is more reflective of market conditions and a better indicator of expected volatility than historical volatility. In determining the appropriateness of implied volatility, we considered the following:</w:t>
      </w:r>
    </w:p>
    <w:p>
      <w:pPr>
        <w:spacing w:after="0" w:line="4" w:lineRule="exact"/>
        <w:rPr>
          <w:sz w:val="20"/>
          <w:szCs w:val="20"/>
          <w:color w:val="auto"/>
        </w:rPr>
      </w:pPr>
    </w:p>
    <w:p>
      <w:pPr>
        <w:ind w:left="5620" w:right="2680" w:hanging="5166"/>
        <w:spacing w:after="0" w:line="440" w:lineRule="auto"/>
        <w:tabs>
          <w:tab w:leader="none" w:pos="8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volume of market activity of freely traded options, and determined that there was sufficient market activity; 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reasonably match the input variables of freely traded options to those options granted by the Company, such as the date of the grant and the exercise price, and determined that the input assumptions were comparable; and</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 of freely traded options used to derive implied volatility, which is generally at least one year, and determined that the length of term was sufficient.</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expected term represents the weighted-average period that the Company’s stock options are expected to be outstanding. The expected term is based on the observed and expected time to post-vesting exercise of options by employees. We use historical exercise patterns of previously granted options in relation to stock price movements to derive an employee behavioral pattern used to forecast expected exercise patterns.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SFAS 123(R) requires us to develop an estimate of the number of share-based awards that will be forfeited due to employee turnover. Adjustments in the estimated forfeiture rates can have a significant effect on our reported share-based compensation, as we recognize the cumulative effect of the rate adjustments for all expense amortization in the period the estimated forfeiture rates were adjusted. We estimate and adjust forfeiture rates based on a periodic review of recent forfeiture activity and expected future employee turnover. If a revised forfeiture rate is higher than previously estimated forfeiture rate, we may make an adjustment that will result in a decrease to the expense recognized in the financial statements during the period when the rate was changed. Adjustments in the estimated forfeiture rates could also cause changes in the amount of expense that we recognize in future periods.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Changes in the subjective assumptions can materially affect the estimate of fair value of stock-based compensation and, consequently, the related amount recognized on the Consolidated Statements of Income.</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Accounting for income taxes. </w:t>
      </w:r>
      <w:r>
        <w:rPr>
          <w:rFonts w:ascii="Arial" w:cs="Arial" w:eastAsia="Arial" w:hAnsi="Arial"/>
          <w:sz w:val="16"/>
          <w:szCs w:val="16"/>
          <w:color w:val="auto"/>
        </w:rPr>
        <w:t>Significant management judgment is required in determining our provision for income taxes, deferred tax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and any valuation allowance recorded against net deferred tax assets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109). These estimates and judgments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to our tax provision in the current or subsequent period.</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must assess the likelihood that we will be able to recover our deferred tax assets. If recovery is not likely, we must increase our provision for taxes by recording a valuation allowance against the deferred tax assets that we estimate will not ultimately be recoverable. We believe that we will ultimately recover substantially all of the deferred tax assets recorded on our Consolidated Balance Sheets as of December 31, 2008. However, should there be a change in our ability to recover our deferred tax assets, our tax provision would increase in the period in which we determined that the recovery was not likely.</w:t>
      </w:r>
    </w:p>
    <w:p>
      <w:pPr>
        <w:spacing w:after="0" w:line="11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 accordance with the FASB issued Interpretation No. 48, “</w:t>
      </w:r>
      <w:r>
        <w:rPr>
          <w:rFonts w:ascii="Arial" w:cs="Arial" w:eastAsia="Arial" w:hAnsi="Arial"/>
          <w:sz w:val="16"/>
          <w:szCs w:val="16"/>
          <w:i w:val="1"/>
          <w:iCs w:val="1"/>
          <w:color w:val="auto"/>
        </w:rPr>
        <w:t>Accounting for Uncertainty in Income Taxes—an interpretation of SFAS No. 109</w:t>
      </w:r>
      <w:r>
        <w:rPr>
          <w:rFonts w:ascii="Arial" w:cs="Arial" w:eastAsia="Arial" w:hAnsi="Arial"/>
          <w:sz w:val="16"/>
          <w:szCs w:val="16"/>
          <w:color w:val="auto"/>
        </w:rPr>
        <w:t>” (FIN 48), and related guidance,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If we determine that a tax position will more likely than not be sustained on audit, then the second step requires us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effective settlement of audit issues, and new audit activity. Such a change in recognition or measurement would result in the recognition of a tax benefit or an additional charge to the tax provision.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See Note 2 under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Consolidated Financial Statements in Item 8. Financial Statements and Supplementary Data for a full description of recent accounting pronouncements including the respective expected dates of adoption and effects on results of operations and financial condition.</w:t>
      </w:r>
    </w:p>
    <w:p>
      <w:pPr>
        <w:spacing w:after="0" w:line="215" w:lineRule="exact"/>
        <w:rPr>
          <w:sz w:val="20"/>
          <w:szCs w:val="20"/>
          <w:color w:val="auto"/>
        </w:rPr>
      </w:pPr>
    </w:p>
    <w:p>
      <w:pPr>
        <w:ind w:right="4240"/>
        <w:spacing w:after="0" w:line="347"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and Market Risk</w:t>
      </w:r>
    </w:p>
    <w:p>
      <w:pPr>
        <w:spacing w:after="0" w:line="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achieve this objective, we maintain our portfolio of cash equivalents and short-term and long-term investments in a variety of high quality securities, including U.S. treasuries and government agencies, corporate debt, money market funds, commercial paper and taxable or tax exempt municipal bonds (some of which may have an auction reset feature). The securities, other than money market funds, and the ARS for which we have accepted the Right from UBS and were reclassified to trading, are classified as available for sale and consequently are recorded on the balance sheet at fair value with unrealized gains or losses reported as a separate component of accumulated other comprehensive income (loss). The weighted-average maturity of our investments excluding auction rate securities as of December 31, 2008 was approximately one year. If interest rates rise, the market value of our investments may decline, which could result in a realized loss if we are forced to sell an investment before its scheduled maturity. A hypothetical increase in interest rate by 25 basis points would have resulted in a decrease in the fair value of our net investment position of approximately $1.6 million as of December 31, 2008. We do not utilize derivative financial instruments to manage our interest rate risks.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December 31, 2008, we held approximately $79.1 million of municipal bond investments, classified as long-term assets, with an auction reset feature (“auction rate securities”) whose underlying assets are student loans which are substantially backed by the federal government. In February 2008, auctions began to fail for these securities and each auction since then has failed. Consequently, the investments are not currently liquid and the Company will not be able to access these funds until a future auction of these investments is successful, a buyer is found outside of the auction process or the investments mature, which may be over 20 years. As a result, our ability to liquidate our investment and fully recover the carrying value of our investment in the near term may be limited or not exist. All ARS are currently AAA rated, the highest rating, except for one which is A2, by a rating agency. If the issuers are unable to successfully close future auctions and their credit ratings deteriorate, we may in the future be required to record an impairment charge on these investments. At December 31, 2008, our investment advisors provided a valuation for the ARS investments utilizing a discounted cash flow approach to arrive at this valuation, which was corroborated by a separate and comparable discounted cash flow analysis we prepared. Based on this Level 3 valuation, we valued the ARS investments at $79.1 million, which represents a decline in value of $15.6 million from par. The assumptions used in preparing the discounted cash flow model include estimates of, based on data available as of December 31, 2008, interest rates, timing and amount of cash flows, credit and liquidity premiums, and expected holding periods of the ARS. These assumptions are volatile and subject to change as the underlying sources of these assumptions and market conditions change, thereby could result in significant changes to the fair value of ARS.</w:t>
      </w:r>
    </w:p>
    <w:p>
      <w:pPr>
        <w:spacing w:after="0" w:line="12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November 2008, we accepted an offer (the “Right”) from UBS AG (“UBS”), one of our investment providers, entitling us to sell at par value auction-rate securities originally purchased from UBS at anytime during a two-year period from June 30, 2010 through July 2, 2012. In accepting the Right, we granted UBS the authority to sell or auction the ARS at par at any time up until the expiration date of the offer and released UBS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from any claims relating to the marketing and sale of ARS. Although we expect to sell our ARS under the Right, if the Right is not exercised before July 2, 2012 it will expire and UBS will have no further rights or obligation to buy our ARS. In lieu of our acceptance of the Right, ARS will continue to accrue and pay interest as determined by the auction process or the terms specified in the prospectus of the ARS if the auction process fails. The value of the Right may largely offset the decline in fair value of the ARS.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UBS’s obligations under the Right are not secured by its assets and do not require UBS to obtain any financing to support its performance obligations under the Rights. UBS has disclaimed any assurance that it will have sufficient financial resources to satisfy its obligations under the Rights. If UBS has insufficient funding to buy back the ARS and the auction process continues to fail, then we may incur further losses on the carrying value of the 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majority of our revenue, expense, and capital purchasing activities are transacted in U.S. dollars. However, since a portion of our operations consists of sales activities outside of the United States, we have foreign exchange exposures to non-U.S.dollar revenues, operating expenses, accounts receivable, accounts payable and currency bank balances. Our primary exposure is the Euro.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sales denominated in foreign currencies were approximately 11% of total revenue.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our revenue would have decreased by approximately $9.8 million if the U.S. dollar exchange rate used would have strengthened by 10%.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we have assets and liabilities denominated in foreign currencies. A 10% strengthening of the U.S. dollar exchange rate against all currencies with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at December 31, 2008 would have resulted in a $3.4 million decrease in the carrying amounts of those net assets.</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international operations are subject to risks typical of international operations, including, but not limited to, differing economic conditions, changes in political climate, differing tax structures, other regulations and restrictions, and foreign exchange rate volatility. During the year ended December 31, 2008, we did not utilize derivative financial instruments to manage our exchange rate risks. Subsequent to December 31, 2008, we entered into foreign exchange contracts to hedge a portion of our risk associated with Euro exposure.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0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120" w:type="dxa"/>
            <w:vAlign w:val="bottom"/>
          </w:tcPr>
          <w:p>
            <w:pPr>
              <w:spacing w:after="0"/>
              <w:rPr>
                <w:sz w:val="19"/>
                <w:szCs w:val="19"/>
                <w:color w:val="auto"/>
              </w:rPr>
            </w:pPr>
          </w:p>
        </w:tc>
      </w:tr>
      <w:tr>
        <w:trPr>
          <w:trHeight w:val="459"/>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60" w:type="dxa"/>
            <w:vAlign w:val="bottom"/>
            <w:gridSpan w:val="4"/>
          </w:tcPr>
          <w:p>
            <w:pPr>
              <w:jc w:val="center"/>
              <w:ind w:right="2220"/>
              <w:spacing w:after="0"/>
              <w:rPr>
                <w:sz w:val="20"/>
                <w:szCs w:val="20"/>
                <w:color w:val="auto"/>
              </w:rPr>
            </w:pPr>
            <w:r>
              <w:rPr>
                <w:rFonts w:ascii="Arial" w:cs="Arial" w:eastAsia="Arial" w:hAnsi="Arial"/>
                <w:sz w:val="18"/>
                <w:szCs w:val="18"/>
                <w:b w:val="1"/>
                <w:bCs w:val="1"/>
                <w:color w:val="auto"/>
                <w:w w:val="87"/>
              </w:rPr>
              <w:t>Financial Statements</w:t>
            </w:r>
          </w:p>
        </w:tc>
        <w:tc>
          <w:tcPr>
            <w:tcW w:w="2120" w:type="dxa"/>
            <w:vAlign w:val="bottom"/>
          </w:tcPr>
          <w:p>
            <w:pPr>
              <w:spacing w:after="0"/>
              <w:rPr>
                <w:sz w:val="24"/>
                <w:szCs w:val="24"/>
                <w:color w:val="auto"/>
              </w:rPr>
            </w:pPr>
          </w:p>
        </w:tc>
      </w:tr>
      <w:tr>
        <w:trPr>
          <w:trHeight w:val="297"/>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20" w:type="dxa"/>
            <w:vAlign w:val="bottom"/>
            <w:gridSpan w:val="6"/>
          </w:tcPr>
          <w:p>
            <w:pPr>
              <w:jc w:val="center"/>
              <w:ind w:right="1360"/>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2120" w:type="dxa"/>
            <w:vAlign w:val="bottom"/>
          </w:tcPr>
          <w:p>
            <w:pPr>
              <w:spacing w:after="0"/>
              <w:rPr>
                <w:sz w:val="24"/>
                <w:szCs w:val="24"/>
                <w:color w:val="auto"/>
              </w:rPr>
            </w:pPr>
          </w:p>
        </w:tc>
      </w:tr>
      <w:tr>
        <w:trPr>
          <w:trHeight w:val="380"/>
        </w:trPr>
        <w:tc>
          <w:tcPr>
            <w:tcW w:w="4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Reports of Independent Registered Public Accounting Firm</w:t>
              </w:r>
            </w:hyperlink>
          </w:p>
        </w:tc>
        <w:tc>
          <w:tcPr>
            <w:tcW w:w="5100" w:type="dxa"/>
            <w:vAlign w:val="bottom"/>
            <w:gridSpan w:val="5"/>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43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55">
              <w:r>
                <w:rPr>
                  <w:rFonts w:ascii="Arial" w:cs="Arial" w:eastAsia="Arial" w:hAnsi="Arial"/>
                  <w:sz w:val="18"/>
                  <w:szCs w:val="18"/>
                  <w:color w:val="0000EE"/>
                  <w:w w:val="86"/>
                </w:rPr>
                <w:t>Consolidated Balance Sheets at December 31, 2008 and 2007</w:t>
              </w:r>
            </w:hyperlink>
          </w:p>
        </w:tc>
        <w:tc>
          <w:tcPr>
            <w:tcW w:w="4960" w:type="dxa"/>
            <w:vAlign w:val="bottom"/>
            <w:gridSpan w:val="4"/>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930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Income for the years ended December 31, 2008, 2007 and 2006</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3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12"/>
        </w:trPr>
        <w:tc>
          <w:tcPr>
            <w:tcW w:w="930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 of Stockholders’ Equity for the years ended December 31, 2008, 2007 and 2006</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2"/>
        </w:trPr>
        <w:tc>
          <w:tcPr>
            <w:tcW w:w="7340" w:type="dxa"/>
            <w:vAlign w:val="bottom"/>
            <w:tcBorders>
              <w:top w:val="single" w:sz="8" w:color="0000EE"/>
            </w:tcBorders>
            <w:gridSpan w:val="7"/>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Consolidated Statements of Cash Flows for the years ended December 31, 2008, 2007 and 2006</w:t>
              </w:r>
            </w:hyperlink>
          </w:p>
        </w:tc>
        <w:tc>
          <w:tcPr>
            <w:tcW w:w="19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334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Notes to the Consolidated Financial Statements</w:t>
              </w:r>
            </w:hyperlink>
          </w:p>
        </w:tc>
        <w:tc>
          <w:tcPr>
            <w:tcW w:w="3400" w:type="dxa"/>
            <w:vAlign w:val="bottom"/>
            <w:tcBorders>
              <w:top w:val="single" w:sz="8" w:color="0000EE"/>
            </w:tcBorders>
            <w:gridSpan w:val="5"/>
          </w:tcPr>
          <w:p>
            <w:pPr>
              <w:spacing w:after="0"/>
              <w:rPr>
                <w:sz w:val="24"/>
                <w:szCs w:val="24"/>
                <w:color w:val="auto"/>
              </w:rPr>
            </w:pPr>
          </w:p>
        </w:tc>
        <w:tc>
          <w:tcPr>
            <w:tcW w:w="2560" w:type="dxa"/>
            <w:vAlign w:val="bottom"/>
            <w:gridSpan w:val="2"/>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2"/>
        </w:trPr>
        <w:tc>
          <w:tcPr>
            <w:tcW w:w="34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Schedule II—Valuation and Qualifying Accounts</w:t>
              </w:r>
            </w:hyperlink>
          </w:p>
        </w:tc>
        <w:tc>
          <w:tcPr>
            <w:tcW w:w="5820" w:type="dxa"/>
            <w:vAlign w:val="bottom"/>
            <w:gridSpan w:val="6"/>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shown in the Consolidated Financial Statements or the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Intuitive Surgical, Inc.</w:t>
      </w:r>
    </w:p>
    <w:p>
      <w:pPr>
        <w:spacing w:after="0" w:line="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Intuitive Surgical, Inc. as of December 31, 2008 and 2007, and the related consolidated statements of income, stockholders’ equity, and cash flows for each of the three years in the period ended December 31, 2008.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Intuitive Surgical, Inc. at December 31, 2008 and 2007, and the consolidated results of its operations and its cash flows for each of the three years in the period ended December 31,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discussed in Note 2 to the consolidated financial statements, Intuitive Surgical, Inc. changed its method of accounting for uncertain tax positions as of January 1, 2007.</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effectiveness of Intuitive Surgical, Inc.’s internal control over financial reporting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February 4, 2009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Intuitive Surgical, Inc.</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We have audited Intuitive Surgical, Inc.’s internal control over financial reporting as of December 31, 2008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(the COSO criteria). Intuitive Surgical,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our opinion, Intuitive Surgical, Inc. maintained, in all material respects, effective internal control over financial reporting as of December 31, 2008, based on the COSO criteria.</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Intuitive Surgical, Inc. as of December 31, 2008 and 2007, and the related consolidated statements of income, stockholders’ equity, and cash flows for each of the three years in the period ended December 31, 2008, and the financial statement schedule listed in the index at Item 15(a) and our report dated February 4, 2009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INTUITIVE SURGICAL,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194,623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256,746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Accounts receivable, net of allowances of $4,100 and $3,793 at December 31, 2008 and 2007, respectively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170,107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63,460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Prepaids and other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9,458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703,890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117,021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450,504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Long-term deferred tax asset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35,899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56,224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110,740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1,474,624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1,039,998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Accrued compensation and employee benefits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36,930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77,981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29,104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164,516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1,271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42,071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207,858</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9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Preferred stock, 2,500 shares authorized, $0.001 par value, issuable in series; no shares issued and outstanding as of</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2008 and 2007, respectively</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w w:val="89"/>
              </w:rPr>
              <w:t>Common stock, 100,000 shares authorized, $0.001 par value, 39,183 and 38,470 shares issued and outstanding as of</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December 31, 2008 and 2007, respectively</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871,846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397,824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vMerge w:val="restart"/>
          </w:tcPr>
          <w:p>
            <w:pPr>
              <w:ind w:left="86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1,266,766</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888,674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1,474,624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1,039,998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INTUITIVE SURGICAL,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748,325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516,089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317,599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126,594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tcPr>
          <w:p>
            <w:pPr>
              <w:ind w:left="88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874,919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600,828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372,682</w:t>
            </w: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200,074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145,654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880"/>
              <w:spacing w:after="0"/>
              <w:rPr>
                <w:sz w:val="20"/>
                <w:szCs w:val="20"/>
                <w:color w:val="auto"/>
              </w:rPr>
            </w:pPr>
            <w:r>
              <w:rPr>
                <w:rFonts w:ascii="Arial" w:cs="Arial" w:eastAsia="Arial" w:hAnsi="Arial"/>
                <w:sz w:val="18"/>
                <w:szCs w:val="18"/>
                <w:color w:val="auto"/>
              </w:rPr>
              <w:t>Total cost of revenue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254,142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186,542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124,846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620,777</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414,286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247,836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230,570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158,685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309,942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207,544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310,835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206,742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107,355</w:t>
            </w: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335,203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237,234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120,138</w:t>
            </w: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130,888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204,315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144,537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72,044</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Shares used in computing basic and diluted net income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38,093</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INTUITIVE SURGICAL, INC.</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Common</w:t>
            </w:r>
          </w:p>
        </w:tc>
        <w:tc>
          <w:tcPr>
            <w:tcW w:w="6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Paid-In</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Capital</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8"/>
              </w:rPr>
              <w:t>Deficit)</w:t>
            </w:r>
          </w:p>
        </w:tc>
        <w:tc>
          <w:tcPr>
            <w:tcW w:w="4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at December 31, 2005</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36,187,910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36</w:t>
            </w:r>
          </w:p>
        </w:tc>
        <w:tc>
          <w:tcPr>
            <w:tcW w:w="24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465,021</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(20,989)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(1,477)</w:t>
            </w:r>
          </w:p>
        </w:tc>
        <w:tc>
          <w:tcPr>
            <w:tcW w:w="2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442,591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tcPr>
          <w:p>
            <w:pPr>
              <w:spacing w:after="0" w:line="138" w:lineRule="exact"/>
              <w:rPr>
                <w:sz w:val="20"/>
                <w:szCs w:val="20"/>
                <w:color w:val="auto"/>
              </w:rPr>
            </w:pPr>
            <w:r>
              <w:rPr>
                <w:rFonts w:ascii="Arial" w:cs="Arial" w:eastAsia="Arial" w:hAnsi="Arial"/>
                <w:sz w:val="14"/>
                <w:szCs w:val="14"/>
                <w:color w:val="auto"/>
                <w:w w:val="92"/>
              </w:rPr>
              <w:t>Issuance of common stock upon exercise of options and warrants, and under stock purchase</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tcPr>
          <w:p>
            <w:pPr>
              <w:ind w:left="200"/>
              <w:spacing w:after="0" w:line="159" w:lineRule="exact"/>
              <w:rPr>
                <w:sz w:val="20"/>
                <w:szCs w:val="20"/>
                <w:color w:val="auto"/>
              </w:rPr>
            </w:pPr>
            <w:r>
              <w:rPr>
                <w:rFonts w:ascii="Arial" w:cs="Arial" w:eastAsia="Arial" w:hAnsi="Arial"/>
                <w:sz w:val="14"/>
                <w:szCs w:val="14"/>
                <w:color w:val="auto"/>
              </w:rPr>
              <w:t>plan</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905,353</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19,172</w:t>
            </w:r>
          </w:p>
        </w:tc>
        <w:tc>
          <w:tcPr>
            <w:tcW w:w="120" w:type="dxa"/>
            <w:vAlign w:val="bottom"/>
          </w:tcPr>
          <w:p>
            <w:pPr>
              <w:spacing w:after="0"/>
              <w:rPr>
                <w:sz w:val="13"/>
                <w:szCs w:val="13"/>
                <w:color w:val="auto"/>
              </w:rPr>
            </w:pPr>
          </w:p>
        </w:tc>
        <w:tc>
          <w:tcPr>
            <w:tcW w:w="11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(35)</w:t>
            </w:r>
          </w:p>
        </w:tc>
        <w:tc>
          <w:tcPr>
            <w:tcW w:w="60" w:type="dxa"/>
            <w:vAlign w:val="bottom"/>
          </w:tcPr>
          <w:p>
            <w:pPr>
              <w:spacing w:after="0"/>
              <w:rPr>
                <w:sz w:val="13"/>
                <w:szCs w:val="13"/>
                <w:color w:val="auto"/>
              </w:rPr>
            </w:pPr>
          </w:p>
        </w:tc>
        <w:tc>
          <w:tcPr>
            <w:tcW w:w="108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19,138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from stock option exercises</w:t>
            </w:r>
          </w:p>
        </w:tc>
        <w:tc>
          <w:tcPr>
            <w:tcW w:w="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28,270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 related to employee stock plans</w:t>
            </w:r>
          </w:p>
        </w:tc>
        <w:tc>
          <w:tcPr>
            <w:tcW w:w="9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25,480</w:t>
            </w: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25,480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Components of comprehensive income, net of tax:</w:t>
            </w: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9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72,044</w:t>
            </w:r>
          </w:p>
        </w:tc>
        <w:tc>
          <w:tcPr>
            <w:tcW w:w="6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72,044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 (loss)</w:t>
            </w:r>
          </w:p>
        </w:tc>
        <w:tc>
          <w:tcPr>
            <w:tcW w:w="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6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74,226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December 31, 2006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37,093,263</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537,943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51,020</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76"/>
              </w:rPr>
              <w:t>705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589,705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tcPr>
          <w:p>
            <w:pPr>
              <w:spacing w:after="0" w:line="138" w:lineRule="exact"/>
              <w:rPr>
                <w:sz w:val="20"/>
                <w:szCs w:val="20"/>
                <w:color w:val="auto"/>
              </w:rPr>
            </w:pPr>
            <w:r>
              <w:rPr>
                <w:rFonts w:ascii="Arial" w:cs="Arial" w:eastAsia="Arial" w:hAnsi="Arial"/>
                <w:sz w:val="14"/>
                <w:szCs w:val="14"/>
                <w:color w:val="auto"/>
                <w:w w:val="92"/>
              </w:rPr>
              <w:t>Issuance of common stock upon exercise of options and warrants, and under stock purchase</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tcPr>
          <w:p>
            <w:pPr>
              <w:ind w:left="200"/>
              <w:spacing w:after="0" w:line="159" w:lineRule="exact"/>
              <w:rPr>
                <w:sz w:val="20"/>
                <w:szCs w:val="20"/>
                <w:color w:val="auto"/>
              </w:rPr>
            </w:pPr>
            <w:r>
              <w:rPr>
                <w:rFonts w:ascii="Arial" w:cs="Arial" w:eastAsia="Arial" w:hAnsi="Arial"/>
                <w:sz w:val="14"/>
                <w:szCs w:val="14"/>
                <w:color w:val="auto"/>
              </w:rPr>
              <w:t>plan</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1,376,426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55,979</w:t>
            </w:r>
          </w:p>
        </w:tc>
        <w:tc>
          <w:tcPr>
            <w:tcW w:w="120" w:type="dxa"/>
            <w:vAlign w:val="bottom"/>
          </w:tcPr>
          <w:p>
            <w:pPr>
              <w:spacing w:after="0"/>
              <w:rPr>
                <w:sz w:val="13"/>
                <w:szCs w:val="13"/>
                <w:color w:val="auto"/>
              </w:rPr>
            </w:pPr>
          </w:p>
        </w:tc>
        <w:tc>
          <w:tcPr>
            <w:tcW w:w="11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8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55,980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from stock option exercises</w:t>
            </w:r>
          </w:p>
        </w:tc>
        <w:tc>
          <w:tcPr>
            <w:tcW w:w="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65,391</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 related to employee stock plans</w:t>
            </w:r>
          </w:p>
        </w:tc>
        <w:tc>
          <w:tcPr>
            <w:tcW w:w="9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36,278</w:t>
            </w: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36,278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initially apply FIN 48</w:t>
            </w:r>
          </w:p>
        </w:tc>
        <w:tc>
          <w:tcPr>
            <w:tcW w:w="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(2,048)</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Components of comprehensive income, net of tax:</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144,537</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144,537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 comprehensive income (loss)</w:t>
            </w:r>
          </w:p>
        </w:tc>
        <w:tc>
          <w:tcPr>
            <w:tcW w:w="9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Balances at December 31, 2007</w:t>
            </w: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85"/>
              </w:rPr>
              <w:t>38,469,689</w:t>
            </w:r>
          </w:p>
        </w:tc>
        <w:tc>
          <w:tcPr>
            <w:tcW w:w="3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38</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694,597</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193,509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tcPr>
          <w:p>
            <w:pPr>
              <w:ind w:left="660"/>
              <w:spacing w:after="0" w:line="155" w:lineRule="exact"/>
              <w:rPr>
                <w:sz w:val="20"/>
                <w:szCs w:val="20"/>
                <w:color w:val="auto"/>
              </w:rPr>
            </w:pPr>
            <w:r>
              <w:rPr>
                <w:rFonts w:ascii="Arial" w:cs="Arial" w:eastAsia="Arial" w:hAnsi="Arial"/>
                <w:sz w:val="14"/>
                <w:szCs w:val="14"/>
                <w:color w:val="auto"/>
                <w:w w:val="76"/>
              </w:rPr>
              <w:t>530</w:t>
            </w:r>
          </w:p>
        </w:tc>
        <w:tc>
          <w:tcPr>
            <w:tcW w:w="220" w:type="dxa"/>
            <w:vAlign w:val="bottom"/>
          </w:tcPr>
          <w:p>
            <w:pPr>
              <w:spacing w:after="0"/>
              <w:rPr>
                <w:sz w:val="13"/>
                <w:szCs w:val="13"/>
                <w:color w:val="auto"/>
              </w:rPr>
            </w:pP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888,674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upon exercise of options and under stock purchase plan</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713,242</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44,677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Income tax benefit from stock option exercises</w:t>
            </w:r>
          </w:p>
        </w:tc>
        <w:tc>
          <w:tcPr>
            <w:tcW w:w="9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55,926</w:t>
            </w: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55,926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 related to employee stock plans</w:t>
            </w:r>
          </w:p>
        </w:tc>
        <w:tc>
          <w:tcPr>
            <w:tcW w:w="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76,646</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Components of comprehensive income, net of tax:</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204,315</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204,315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 comprehensive income (loss)</w:t>
            </w:r>
          </w:p>
        </w:tc>
        <w:tc>
          <w:tcPr>
            <w:tcW w:w="9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Balances at December 31, 2008</w:t>
            </w: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85"/>
              </w:rPr>
              <w:t>39,182,931</w:t>
            </w:r>
          </w:p>
        </w:tc>
        <w:tc>
          <w:tcPr>
            <w:tcW w:w="3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39</w:t>
            </w: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871,846</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397,824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(2,943)</w:t>
            </w: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w w:val="86"/>
              </w:rPr>
              <w:t>1,266,766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INTUITIVE SURGICAL,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204,315</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144,537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11,011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Gain on sale of investments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benefits related to an acquisition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(20,495)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 of stock options and employee stock purchases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(53,303)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(62,868)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benefits related to stock option exercises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(35,687)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(31,064)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(8,213)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(9,239)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18,646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employee benefits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24,559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278,235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205,687</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(732,698)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(688,345)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(301,001)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maturities of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534,143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475,952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(62,473)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(20,256)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Licensing and purchase of intellectual property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(304,528)</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(236,400)</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44,677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97,980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118,847</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88,435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122,825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194,623</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122,825</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Income taxes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61,450</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11,300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Intuitive Surgical, Inc. (the “Company” or “Intuitive”) designs, manufactures, and markets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which is an advanced surgical system that the Company believes represent a new generation of surgery.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consists of a surgeon’s console, a patient-side cart, a high performance vision system and proprietary “wristed” instruments. The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 seamlessly translates the surgeon’s natural hand movements on instrument controls at the console into corresponding micro-movements of instruments positioned inside the patient through small puncture incisions, or ports. The Company markets its products through sales representatives in the United States, and through a combination of sales representatives and distributors in its international markets.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and include the accounts of the Company and its wholly owned subsidiaries. All significant inter-company balances and transactions have been eliminated in consolidation. During fiscal 2008, the Company established subsidiaries in Belgium, Mexico and the United Kingdom.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notes. The accounting estimates that require management’s most significant, difficult and subjective judgments include the valuation and recognition of investments, the valuation of the revenue and accounts receivable, the valuation of inventory, the assessment of recoverability of intangible assets and their estimated useful lives, the valuation and recognition of stock based compensation and the recognition and measurement of current and deferred income tax assets and liabilities. Actual results could differ materially from these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carrying amounts for financial instruments consisting of cash and cash equivalents, accounts receivable, accounts payable and accrued liabilities approximate fair value due to their short maturities. Marketable securities are stated at their estimated fair values, based on quoted market prices for the same or similar instruments. The counterparties to the agreements relating to the Company’s investment securities consist of various major corporations, financial institutions, municipalities and government agencies of high credit standing.</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accounts receivable are derived from net revenue to customers and distributors located in the United States and other countries. The Company performs credit evaluations of its customers’ financial condition and, generally, requires no collateral from its customers. The Company provides reserves for potential credit losses but has not experienced significant losses to date. As of December 31, 2008, 68% and 32%, respectively, of accounts receivable were from customers located in the United States and other countries. As of December 31, 2007, 69% and 31%, respectively, of accounts receivable were from customers located in the United States and other countries. No single customer represented more than 10% of net accounts receivable as of December 31, 2008 and 2007.</w:t>
      </w:r>
    </w:p>
    <w:p>
      <w:pPr>
        <w:spacing w:after="0" w:line="14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each of the years ended December 31, 2008 and 2007, domestic and international revenue accounted for 78% and 22%, respectively, of total revenue. During the year ended December 31, 2006, domestic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international revenue accounted for 83% and 17%, respectively, of total revenue. No single customer represented more than 10% of total revenue for the years ended December 31, 2008, 2007 and 2006.</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da Vinci</w:t>
      </w:r>
      <w:r>
        <w:rPr>
          <w:rFonts w:ascii="Arial" w:cs="Arial" w:eastAsia="Arial" w:hAnsi="Arial"/>
          <w:sz w:val="18"/>
          <w:szCs w:val="18"/>
          <w:color w:val="auto"/>
        </w:rPr>
        <w:t xml:space="preserve"> Surgical Systems and related instruments and accessories accounted for substantially all of the Company’s product revenue during the years ended December 31, 2008, 2007 and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an original maturity from date of purchase of 90 days or less to be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Available-for-sale and trading investments</w:t>
      </w:r>
      <w:r>
        <w:rPr>
          <w:rFonts w:ascii="Arial" w:cs="Arial" w:eastAsia="Arial" w:hAnsi="Arial"/>
          <w:sz w:val="16"/>
          <w:szCs w:val="16"/>
          <w:color w:val="auto"/>
        </w:rPr>
        <w:t>. The Company’s investments consist of U.S. Treasury and U.S. government agency securities, taxable and tax</w:t>
      </w:r>
      <w:r>
        <w:rPr>
          <w:rFonts w:ascii="Arial" w:cs="Arial" w:eastAsia="Arial" w:hAnsi="Arial"/>
          <w:sz w:val="16"/>
          <w:szCs w:val="16"/>
          <w:i w:val="1"/>
          <w:iCs w:val="1"/>
          <w:color w:val="auto"/>
        </w:rPr>
        <w:t xml:space="preserve"> </w:t>
      </w:r>
      <w:r>
        <w:rPr>
          <w:rFonts w:ascii="Arial" w:cs="Arial" w:eastAsia="Arial" w:hAnsi="Arial"/>
          <w:sz w:val="16"/>
          <w:szCs w:val="16"/>
          <w:color w:val="auto"/>
        </w:rPr>
        <w:t>exempt municipal notes, some of which may have an auction reset feature (auction rate securities or ARS), corporate notes and bonds, commercial paper, and money market funds. We designated all investments, except for ARS held by UBS, as available-for-sale and are therefore reported at fair value, with unrealized gains and losses recorded in accumulated other comprehensive income. During the fourth quarter of fiscal 2008, the Company reclassified ARS held by UBS from available-for-sale to trading securities. Investments that the Company designates as trading assets are reported at fair value, with gains or losses resulting from changes in fair value recognized in earnings. See Note 3 for further detailed discussion. For securities sold prior to maturity, the cost of securities sold is based on the specific identification method. Realized gains and losses on the sale of investments are recorded in interest and other income, net. Investments with original maturities greater than approximately three months and remaining maturities less than one year are classified as short-term investments. Investments with remaining maturities greater than one year are classified as long-term investments.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Other-than-temporary impairment</w:t>
      </w:r>
      <w:r>
        <w:rPr>
          <w:rFonts w:ascii="Arial" w:cs="Arial" w:eastAsia="Arial" w:hAnsi="Arial"/>
          <w:sz w:val="16"/>
          <w:szCs w:val="16"/>
          <w:color w:val="auto"/>
        </w:rPr>
        <w:t>. All of the Company’s available-for-sale investments are subject to a periodic impairment review.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recognizes an impairment charge when a decline in the fair value of its investments below the cost basis is judged to be other-than-temporary. The Company considers various factors in determining whether to recognize an impairment charge, including the length of time and extent to which the fair value has been less than the Company’s cost basis, the financial condition and near-term prospects of the investee, and the Company’s intent and ability to hold the investment for a period of time sufficient to allow for any anticipated recovery in the market value. During the years ended December 31, 2008, 2007 and 2006 the Company did not record any other-than-temporary impairment charges on its available-for-sale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Sales Returns and Doubtful Accounts</w:t>
      </w:r>
    </w:p>
    <w:p>
      <w:pPr>
        <w:spacing w:after="0" w:line="90"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The allowance for sales returns is based on the Company’s estimates of potential future product returns and other allowances related to current period product revenue. The Company analyzes historical returns, current economic trends and changes in customer demand and acceptance of our products.</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allowance for doubtful accounts is based on the Company’s assessment of the collectibility of customer accounts. The Company regularly reviews the allowance by considering factors such as historical experience, credit quality, the age of the accounts receivable balances, and current economic conditions that may affect a customer’s ability to pay.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Inventory is stated at the lower of cost or market value on a first-in, first-out basis. Inventory costs include direct materials, direct labor, direct subcontractor costs, and manufacturing overhead. The Company provides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inventory write-downs based on excess and obsolete inventories determined primarily by future demand forecasts. These factors are impacted by market and economic conditions, technology changes and new product introductions and require estimates.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Property, plant and equipment are stated at cost, net of accumulated depreciation. Property, plant and equipment are depreciated on a straight-line basis over the estimated useful lives of the assets generally as follows: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vMerge w:val="restart"/>
          </w:tcPr>
          <w:p>
            <w:pPr>
              <w:spacing w:after="0"/>
              <w:rPr>
                <w:sz w:val="20"/>
                <w:szCs w:val="20"/>
                <w:color w:val="auto"/>
              </w:rPr>
            </w:pPr>
            <w:r>
              <w:rPr>
                <w:rFonts w:ascii="Arial" w:cs="Arial" w:eastAsia="Arial" w:hAnsi="Arial"/>
                <w:sz w:val="18"/>
                <w:szCs w:val="18"/>
                <w:color w:val="auto"/>
              </w:rPr>
              <w:t>Building</w:t>
            </w:r>
          </w:p>
        </w:tc>
        <w:tc>
          <w:tcPr>
            <w:tcW w:w="242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Useful Lives</w:t>
            </w:r>
          </w:p>
        </w:tc>
        <w:tc>
          <w:tcPr>
            <w:tcW w:w="0" w:type="dxa"/>
            <w:vAlign w:val="bottom"/>
          </w:tcPr>
          <w:p>
            <w:pPr>
              <w:spacing w:after="0"/>
              <w:rPr>
                <w:sz w:val="1"/>
                <w:szCs w:val="1"/>
                <w:color w:val="auto"/>
              </w:rPr>
            </w:pPr>
          </w:p>
        </w:tc>
      </w:tr>
      <w:tr>
        <w:trPr>
          <w:trHeight w:val="201"/>
        </w:trPr>
        <w:tc>
          <w:tcPr>
            <w:tcW w:w="418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2540" w:type="dxa"/>
            <w:vAlign w:val="bottom"/>
          </w:tcPr>
          <w:p>
            <w:pPr>
              <w:jc w:val="center"/>
              <w:spacing w:after="0" w:line="201" w:lineRule="exact"/>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Building improvements</w:t>
            </w:r>
          </w:p>
        </w:tc>
        <w:tc>
          <w:tcPr>
            <w:tcW w:w="24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960" w:type="dxa"/>
            <w:vAlign w:val="bottom"/>
            <w:gridSpan w:val="2"/>
          </w:tcPr>
          <w:p>
            <w:pPr>
              <w:jc w:val="center"/>
              <w:ind w:left="2332"/>
              <w:spacing w:after="0"/>
              <w:rPr>
                <w:sz w:val="20"/>
                <w:szCs w:val="20"/>
                <w:color w:val="auto"/>
              </w:rPr>
            </w:pPr>
            <w:r>
              <w:rPr>
                <w:rFonts w:ascii="Arial" w:cs="Arial" w:eastAsia="Arial" w:hAnsi="Arial"/>
                <w:sz w:val="18"/>
                <w:szCs w:val="18"/>
                <w:color w:val="auto"/>
                <w:w w:val="89"/>
              </w:rPr>
              <w:t>Lesser of useful life or term of lease</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Equipment and furniture</w:t>
            </w:r>
          </w:p>
        </w:tc>
        <w:tc>
          <w:tcPr>
            <w:tcW w:w="24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Purchased software</w:t>
            </w:r>
          </w:p>
        </w:tc>
        <w:tc>
          <w:tcPr>
            <w:tcW w:w="242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5"/>
              </w:rPr>
              <w:t>3-5 years</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for years ended December 31, 2008, 2007 and 2006 was $14.6 million, $11.0 million and $8.3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 for Internal Use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capitalizes the costs of computer software development or obtained for internal use in accordance with Statement of Position 98-1,</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Capitalized computer software costs consist of purchased software licenses, implementation and consulting costs for certain projects that qualify for capitalization. Costs related to preliminary project assessment, research and development, re-engineering, training and application management are all expensed as incurred. The Company capitalized costs for enhancement of the enterprise resource planning software system (“ERP System”) and other internal use software of approximately $8.6 million and $5.1 million during the years ended December 31, 2008 and 2007, respectively. Upon being placed in service, these costs are being depreciated over an estimated useful life of 5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Goodwill, which represents the excess of the purchase price over the fair value of net tangible and identifiable intangible assets acquired from Computer Motion, Inc., is not subject to amortization, but is subject to at least an annual assessment for impairment, applying a fair-value based test. The Company performed this assessment as of December 31, 2008 and no impairment charges were recorded.</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intangible assets are comprised of purchased intellectual property and acquired intangibles from the purchase of Computer Motion, Inc. These intangible assets are carried at cost, net of accumulated amortization. Amortization is recorded using the straight-line method, over their respective useful lives, which range from approximately 3 to 7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accordance with Statement of Financial Accounting Standards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(SFAS 142), goodwill and intangible assets with indefinite useful lives are not amortized, but are tested for impairment at least annually or as circumstances indicate their value may no longer be recoverable. The Company does not have intangible assets with indefinite useful lives other than goodwill. Goodwill impairment testing is a two-step process: first, the Company screens for impairment, and if any possible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impairment exists, the Company then undertakes a second step of measuring such impairment. Goodwill impairment test is generally performed annually during the fourth fiscal quarter (or earlier if impairment indicators arise), and the last impairment test was completed on December 31, 2008 for the fiscal year ended December 31, 2008. The Company continues to operate in one segment, which is considered to be the sole reporting unit and therefore, goodwill was tested for impairment at the enterprise level. As of December 31, 2008, there has been no impairment of goodwill.</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evaluates the recoverability of its long-lived assets, which include amortizable intangible and tangible assets, in accordance with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Acquired intangible assets with definite useful lives are amortized over their useful lives. The Company evaluates long-lived assets, other than goodwill, for impairment whenever events or changes in circumstances indicate that the carrying value of long-lived assets may not be recoverable. The Company recognizes such impairment in the event the net book value of such assets exceeds the future undiscounted cash flows attributable to such assets. No impairment losses were incurred in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The Company recognizes revenue in accordance with Staff Accounting Bulletin (“SAB”)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when persuasive evidence of an arrangement exists, delivery has occurred or service has been rendered, the price is fixed or determinable and collectibility is reasonably assured. The Company’s revenues are derived from product revenue resulting from system revenue, and instruments and accessories revenue, and service revenue.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system revenue contains a software component. The Company believes that this software element is an incidental part of each system. The software element within the Company’s products is not sold or marketed separately to customers, and the software does not operate independently of each system. Furthermore, the software development effort does not require a significant cost to the Company relative to the overall development cost of the product. As such, the software the Company provides is incidental to each system as a whole and the software revenue guidance provided in Statement of Position 97-2,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(SOP 97-2), is not applicable to the Company’s revenues.</w:t>
      </w:r>
    </w:p>
    <w:p>
      <w:pPr>
        <w:spacing w:after="0" w:line="1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Provided all other criteria for revenue recognition have been met, the Company generally recognizes system revenue for system sales directly to end customers, when delivery and acceptance occurs which is deemed to have occurred upon the receipt by the Company of a form executed by the customer acknowledging delivery and acceptance. The Company recognizes revenue for system sales through distributors upon transfer of title and risk of loss, which is generally at the time of shipment, assuming all other criteria for revenue recognition have been met.</w:t>
      </w:r>
    </w:p>
    <w:p>
      <w:pPr>
        <w:spacing w:after="0" w:line="11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For an arrangement with multiple deliverables, the Company recognizes system revenue in accordance with Emerging Issues Task Force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(EITF 00-21) with revenues allocated among the different elements. The Company determined that its multiple-element arrangements are generally comprised of the following elements that would qualify as separate units of accounting: system sales and service contracts. Each of these elements represents individual units of accounting as the delivered item has value to a customer on a stand-alone basis, objective and reliable evidence of fair value exists for undelivered items, and arrangements do not contain a right of return relative to the delivered item. The Company determines fair value based on the price of the undelivered element when it is sold separately. In accordance with the guidance in EITF No. 00-21, the Company uses the residual method to allocate the arrangement consideration when it does not have fair value of the system sale.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 from sales of instruments and accessories is recognized when the product has been shipped, risk of loss and title has passed to the customer and collection of the resulting receivable is probable.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Service contract revenue is recognized ratably over the term of the service period. Revenue related to services performed on a time-and-materials basis is recognized when it is earned and billable.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Company’s system contracts do not allow rights of return. The Company’s distributors do not have price protection rights. The Company records an allowance on instruments and accessories sales returns based on historical returns experience.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accounts for stock-based employee compensation plans under the fair value recognition and measurement provisions of</w:t>
      </w:r>
    </w:p>
    <w:p>
      <w:pPr>
        <w:spacing w:after="0" w:line="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SFAS No. 123(revised), “Share-Based Payment” (SFAS 123(R)). SFAS No. 123R requires the recognition of compensation expense, using a fair-value based method, for costs related to all share-based payments including stock options. Pursuant to SFAS No. 123(R), stock-based compensation cost is measured at the grant date, based on the fair value of the award, and is recognized as expense over the requisite service period. SFAS No. 123(R) requires the cash flows resulting from the tax benefits due to tax deductions in excess of the compensation cost recognized for those options (excess tax benefits) to be classified as financing cash flows.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7 for a detailed discussion of SFAS 123(R).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Computation of Net Income per Share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Basic net income per share is computed using the weighted-average number of common shares outstanding during the period. Diluted net income per share is computed using the weighted-average number of common shares and dilutive potential common shares outstanding during the period. Dilutive potential common shares primarily consist of employee stock options.</w:t>
      </w:r>
    </w:p>
    <w:p>
      <w:pPr>
        <w:spacing w:after="0" w:line="14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SFAS No. 128, “</w:t>
      </w:r>
      <w:r>
        <w:rPr>
          <w:rFonts w:ascii="Arial" w:cs="Arial" w:eastAsia="Arial" w:hAnsi="Arial"/>
          <w:sz w:val="15"/>
          <w:szCs w:val="15"/>
          <w:i w:val="1"/>
          <w:iCs w:val="1"/>
          <w:color w:val="auto"/>
        </w:rPr>
        <w:t>Earnings per Share</w:t>
      </w:r>
      <w:r>
        <w:rPr>
          <w:rFonts w:ascii="Arial" w:cs="Arial" w:eastAsia="Arial" w:hAnsi="Arial"/>
          <w:sz w:val="15"/>
          <w:szCs w:val="15"/>
          <w:color w:val="auto"/>
        </w:rPr>
        <w:t>”, requires that employee equity share options, non-vested shares and similar equity instruments granted by the Company be treated as potential common shares outstanding in computing diluted earnings per share. Diluted shares outstanding include the dilutive effect of in-the-money options, which is calculated based on the average share price for each fiscal period using the treasury stock method. Under the treasury stock method, the amount the employee must pay for exercising stock options, the amount of compensation cost for future service that the Company has not yet recognized, and the amount of tax benefits that would be recorded in APIC when the award becomes deductible are all assumed to be used to repurchase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Costs incurred for shipping and handling are included in cost of revenue at the time the related revenue is recognized. Amounts billed to customers for shipping and handling are reported as revenue.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Research and development (or “R&amp;D”) expenses include amortization of purchased intellectual property, costs associated with co-development R&amp;D licensing arrangements, salaries, benefits and other headcount related costs, contract and other outside service fees, and facilities and overhead costs. The costs of acquisition of technology are capitalized if they have alternative future uses in other R&amp;D projects and amortized over their estimated useful lives.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Remeasurement</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accounts of the Company’s foreign subsidiaries are translated in accordance with SFAS No. 52, “</w:t>
      </w:r>
      <w:r>
        <w:rPr>
          <w:rFonts w:ascii="Arial" w:cs="Arial" w:eastAsia="Arial" w:hAnsi="Arial"/>
          <w:sz w:val="18"/>
          <w:szCs w:val="18"/>
          <w:i w:val="1"/>
          <w:iCs w:val="1"/>
          <w:color w:val="auto"/>
        </w:rPr>
        <w:t>Foreign Currency Translation</w:t>
      </w:r>
      <w:r>
        <w:rPr>
          <w:rFonts w:ascii="Arial" w:cs="Arial" w:eastAsia="Arial" w:hAnsi="Arial"/>
          <w:sz w:val="18"/>
          <w:szCs w:val="18"/>
          <w:color w:val="auto"/>
        </w:rPr>
        <w:t>” (SFAS 52). The Company has determined that the functional currency of its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subsidiaries should be their local currency, with the exception of its subsidiaries in the Cayman Islands and Switzerland, whose functional currency is the U.S. dollar. For subsidiaries whose local currency is their functional currency, their assets and liabilities are translated into U.S. dollars at exchange rates at the balance sheet date and revenues and expenses are translated using average exchange rates in effect during the year. Gains and losses from foreign currency translation are included in accumulated other comprehensive income within stockholders’ equity in the accompanying consolidated balance sheets.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all non functional currency account balances, the re-measurement of such balances to the functional currency will result in either a foreign exchange gain or a loss which is recorded to other income, net in the same accounting period that the re-measurement occurred. During the years ended December 31, 2008, 2007 and 2006, the Company recorded $(1.5) million, $3.1 million, and $1.2 million of foreign exchange gain (loss), respectively.</w:t>
      </w:r>
    </w:p>
    <w:p>
      <w:pPr>
        <w:spacing w:after="0" w:line="107" w:lineRule="exact"/>
        <w:rPr>
          <w:sz w:val="20"/>
          <w:szCs w:val="20"/>
          <w:color w:val="auto"/>
        </w:rPr>
      </w:pPr>
    </w:p>
    <w:p>
      <w:pPr>
        <w:jc w:val="both"/>
        <w:ind w:right="520" w:firstLine="456"/>
        <w:spacing w:after="0" w:line="335" w:lineRule="auto"/>
        <w:rPr>
          <w:sz w:val="20"/>
          <w:szCs w:val="20"/>
          <w:color w:val="auto"/>
        </w:rPr>
      </w:pPr>
      <w:r>
        <w:rPr>
          <w:rFonts w:ascii="Arial" w:cs="Arial" w:eastAsia="Arial" w:hAnsi="Arial"/>
          <w:sz w:val="15"/>
          <w:szCs w:val="15"/>
          <w:color w:val="auto"/>
        </w:rPr>
        <w:t>From time to time, the Company may engage in currency hedging strategies to offset the effect of currency exchange fluctuations, but the protection offered by these hedges depends upon the timing of transactions, forecast volatility, effectiveness of such hedges, the extent of currency fluctuation and the effectiveness of such hedges. During the years ended December 31, 2008, 2007 and 2006, the Company has not engaged in any such hedging strategies.</w:t>
      </w:r>
    </w:p>
    <w:p>
      <w:pPr>
        <w:spacing w:after="0" w:line="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Subsequent to December 31, 2008, the Company entered into foreign exchange contracts to hedge its Euro balances at December 31, 2008 and a portion of expected revenue for the first six months of fiscal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amounts that are expected more likely than not to be realized in the future.</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June 2006, the Financial Accounting Standards Board (FASB) issued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(FIN 48). FIN 48 clarifies the accounting for uncertainty in income taxes recognized in an enterprise’s financial statements in accordance with SFAS No. 109,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Income Taxes</w:t>
      </w:r>
      <w:r>
        <w:rPr>
          <w:rFonts w:ascii="Arial" w:cs="Arial" w:eastAsia="Arial" w:hAnsi="Arial"/>
          <w:sz w:val="16"/>
          <w:szCs w:val="16"/>
          <w:color w:val="auto"/>
        </w:rPr>
        <w:t>” (SFAS 109). This interpretation prescribes a recognition threshold and measurement attribute for the financial statement recognition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a tax position taken or expected to be taken in a tax return. FIN 48 also provides guidance on derecognition of tax benefits, classification on the balance sheet, interest and penalties, accounting in interim periods, disclosure, and transition. The Company adopted FIN 48 effective January 1, 2007.</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a result of the implementation of FIN 48, the Company recognized a $2.0 million increase in liability for unrecognized tax benefits, which was accounted for as a reduction to the January 1, 2007 balance of retained earnings. In accordance with FIN 48, paragraph 19, the Company has decided to classify interest and penalties as a component of tax expense. For further discussion, see Note 9 of the Notes to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operates in one segment. Management uses one measurement of profitability and does not segregate its business for internal reporting. As of December 31, 2008 and 2007, over 98% of all long-lived assets were maintained in the United States. For the years ended December 31, 2008, 2007 and 2006, 78%, 78% and 83%, respectively, of net revenue were generated in the United States.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Pronouncements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Effective January 1, 2008, the Company adopted EITF 07-3, “</w:t>
      </w:r>
      <w:r>
        <w:rPr>
          <w:rFonts w:ascii="Arial" w:cs="Arial" w:eastAsia="Arial" w:hAnsi="Arial"/>
          <w:sz w:val="16"/>
          <w:szCs w:val="16"/>
          <w:i w:val="1"/>
          <w:iCs w:val="1"/>
          <w:color w:val="auto"/>
        </w:rPr>
        <w:t>Accounting for Nonrefundable Advance Payments for Goods or Services Received for Use in</w:t>
      </w:r>
      <w:r>
        <w:rPr>
          <w:rFonts w:ascii="Arial" w:cs="Arial" w:eastAsia="Arial" w:hAnsi="Arial"/>
          <w:sz w:val="16"/>
          <w:szCs w:val="16"/>
          <w:color w:val="auto"/>
        </w:rPr>
        <w:t xml:space="preserve"> </w:t>
      </w:r>
      <w:r>
        <w:rPr>
          <w:rFonts w:ascii="Arial" w:cs="Arial" w:eastAsia="Arial" w:hAnsi="Arial"/>
          <w:sz w:val="16"/>
          <w:szCs w:val="16"/>
          <w:i w:val="1"/>
          <w:iCs w:val="1"/>
          <w:color w:val="auto"/>
        </w:rPr>
        <w:t>Future Research and Development Activities</w:t>
      </w:r>
      <w:r>
        <w:rPr>
          <w:rFonts w:ascii="Arial" w:cs="Arial" w:eastAsia="Arial" w:hAnsi="Arial"/>
          <w:sz w:val="16"/>
          <w:szCs w:val="16"/>
          <w:color w:val="auto"/>
        </w:rPr>
        <w:t>” (EITF 07-3). EITF 07-3 requires that nonrefundable advance payments for goods or services that will be used or</w:t>
      </w:r>
      <w:r>
        <w:rPr>
          <w:rFonts w:ascii="Arial" w:cs="Arial" w:eastAsia="Arial" w:hAnsi="Arial"/>
          <w:sz w:val="16"/>
          <w:szCs w:val="16"/>
          <w:i w:val="1"/>
          <w:iCs w:val="1"/>
          <w:color w:val="auto"/>
        </w:rPr>
        <w:t xml:space="preserve"> </w:t>
      </w:r>
      <w:r>
        <w:rPr>
          <w:rFonts w:ascii="Arial" w:cs="Arial" w:eastAsia="Arial" w:hAnsi="Arial"/>
          <w:sz w:val="16"/>
          <w:szCs w:val="16"/>
          <w:color w:val="auto"/>
        </w:rPr>
        <w:t>rendered for future research and development activities be deferred and capitalized and recognized as an expense as the goods are delivered or the related services are performed. The adoption did not have a material impact on the Company’s consolidated results of operations or financial condition.</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Effective January 1, 2008, the Company adopted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In February 2008, the FASB issued Staff Position No. FSP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(FSP 157-2), which provides a one year deferral of the effective date of SFAS 157 for non-financial assets and non-financial liabilities, except those that are recognized or disclosed in the financial statements at fair value at least annually. Therefore, the Company has adopted the provisions of SFAS 157 with respect to its financial assets and liabilities only. The adoption of this statement did not have a material impact on the Company’s consolidated results of operations or financial condition. On October 10, 2008, the FASB issued FSP No. 157-3, “</w:t>
      </w:r>
      <w:r>
        <w:rPr>
          <w:rFonts w:ascii="Arial" w:cs="Arial" w:eastAsia="Arial" w:hAnsi="Arial"/>
          <w:sz w:val="16"/>
          <w:szCs w:val="16"/>
          <w:i w:val="1"/>
          <w:iCs w:val="1"/>
          <w:color w:val="auto"/>
        </w:rPr>
        <w:t>Determining the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of a Financial Asset When the Market for That Asset is Not Active</w:t>
      </w:r>
      <w:r>
        <w:rPr>
          <w:rFonts w:ascii="Arial" w:cs="Arial" w:eastAsia="Arial" w:hAnsi="Arial"/>
          <w:sz w:val="16"/>
          <w:szCs w:val="16"/>
          <w:color w:val="auto"/>
        </w:rPr>
        <w:t>” (FSP 157-3) that clarifies the application of SFAS 157 in a market that is not active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an example to illustrate key considerations in determining the fair value of a financial asset when the market for that financial assets is not active. FSP 157-3 is effective for all periods presented in accordance with SFAS No. 157. The Company considered the additional guidance with respect to the valuation of its financial assets and liabilities and their corresponding designation within the fair value hierarchy. The adoption did not have a material impact on the Company’s consolidated results of operations or financial condition.</w:t>
      </w:r>
    </w:p>
    <w:p>
      <w:pPr>
        <w:spacing w:after="0" w:line="12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January 1, 2008, the Company adopted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(SFAS 159). SFAS 159 allows an entity the irrevocable option to elect fair value for the initial and subsequent measurement for specified financial assets and liabilities on a contract-by-contract basis. The objective of the guidance is to improve financial reporting by providing entities with the opportunity to mitigate volatility in reported earnings caused by measuring related assets and liabilities differently without having to apply complex hedge accounting provisions. The adoption of SFAS 159 did not have a material impact on its financial condition, results of operation, or cash flows since the Company did not elect to apply the fair value option for any of its eligible financial instruments or other items on the January 1, 2008 effective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In November 2008, the Emerging Issues Task Force issued EITF No. 08-7, “</w:t>
      </w:r>
      <w:r>
        <w:rPr>
          <w:rFonts w:ascii="Arial" w:cs="Arial" w:eastAsia="Arial" w:hAnsi="Arial"/>
          <w:sz w:val="15"/>
          <w:szCs w:val="15"/>
          <w:i w:val="1"/>
          <w:iCs w:val="1"/>
          <w:color w:val="auto"/>
        </w:rPr>
        <w:t>Accounting for Defensive Intangible Assets</w:t>
      </w:r>
      <w:r>
        <w:rPr>
          <w:rFonts w:ascii="Arial" w:cs="Arial" w:eastAsia="Arial" w:hAnsi="Arial"/>
          <w:sz w:val="15"/>
          <w:szCs w:val="15"/>
          <w:color w:val="auto"/>
        </w:rPr>
        <w:t>” (EITF 08-7) that clarifies accounting for defensive intangible assets subsequent to initial measurement. EITF 08-7 applies to acquired intangible assets which an entity has no intention of actively using, or intends to discontinue use of, the intangible asset but holds it (locks up) to prevent others from obtaining access to it (i.e., a defensive intangible asset). Under EITF 08-7, the Task Force reached a consensus that an acquired defensive asset should be accounted for as a separate unit of accounting (i.e., an asset separate from other assets of the acquirer); and the useful life assigned to an acquired defensive asset should be based on the period during which the asset would diminish in value. EITF 08-7 is effective for defensive intangible assets acquired in fiscal years beginning on or after December 15, 2008.</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April 2008, the FASB issued FSP No.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(FSP No. 142-3) that amends the factors considered in developing renewal or extension assumptions used to determine the useful life of a recognized intangible asset under SFAS No. 142. FSP No. 142-3 requires a consistent approach between the useful life of a recognized intangible asset under SFAS No. 142 and the period of expected cash flows used to measure the fair value of an asset under SFAS No. 141(R). The FSP also requires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enhanced disclosures when an intangible asset’s expected future cash flows are affected by an entity’s intent and/or ability to renew or extend the arrangement. FSP No. 142-3 is effective for financial statements issued for fiscal years beginning after December 15, 2008 and is applied prospectively. Early adoption is prohibited. The Company does not expect the adoption of FSP No.142-3 to have a material impact on its consolidated results of operations or financial condition.</w:t>
      </w:r>
    </w:p>
    <w:p>
      <w:pPr>
        <w:spacing w:after="0" w:line="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2008, the FASB issued SFAS No. 161, “</w:t>
      </w:r>
      <w:r>
        <w:rPr>
          <w:rFonts w:ascii="Arial" w:cs="Arial" w:eastAsia="Arial" w:hAnsi="Arial"/>
          <w:sz w:val="16"/>
          <w:szCs w:val="16"/>
          <w:i w:val="1"/>
          <w:iCs w:val="1"/>
          <w:color w:val="auto"/>
        </w:rPr>
        <w:t>Disclosures about Derivative Instruments and Hedging Activities—an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133</w:t>
      </w:r>
      <w:r>
        <w:rPr>
          <w:rFonts w:ascii="Arial" w:cs="Arial" w:eastAsia="Arial" w:hAnsi="Arial"/>
          <w:sz w:val="16"/>
          <w:szCs w:val="16"/>
          <w:color w:val="auto"/>
        </w:rPr>
        <w:t>” (SFAS 161). The standard requires additional quantitative disclosures (provided in tabular form) and qualitative disclosures for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required disclosures include how derivative instruments and related hedged items affect an entity’s financial position, financial performance, and cash flows; the relative volume of derivative activity; the objectives and strategies for using derivative instruments; the accounting treatment for those derivative instruments formally designated as the hedging instrument in a hedge relationship; and the existence and nature of credit-risk-related contingent features for derivatives. SFAS 161 does not change the accounting treatment for derivative instruments. SFAS 161 is effective for the Company beginning in the first quarter of 2009.</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February 2008, the Financial Accounting Standards Board (FASB) issued FASB Staff Position 157-1, “</w:t>
      </w:r>
      <w:r>
        <w:rPr>
          <w:rFonts w:ascii="Arial" w:cs="Arial" w:eastAsia="Arial" w:hAnsi="Arial"/>
          <w:sz w:val="16"/>
          <w:szCs w:val="16"/>
          <w:i w:val="1"/>
          <w:iCs w:val="1"/>
          <w:color w:val="auto"/>
        </w:rPr>
        <w:t>Application of FASB Statement No. 157 to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13 and Other Accounting Pronouncements That Address Fair Value Measurements for Purposes of Lease Classification or Measurement under Statement 13</w:t>
      </w:r>
      <w:r>
        <w:rPr>
          <w:rFonts w:ascii="Arial" w:cs="Arial" w:eastAsia="Arial" w:hAnsi="Arial"/>
          <w:sz w:val="16"/>
          <w:szCs w:val="16"/>
          <w:color w:val="auto"/>
        </w:rPr>
        <w:t>” (FSP 157-1) and FSP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(FSP 157-2). FSP 157-1 amends SFAS No. 157 to remove certain leasing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from its scope, and was effective upon initial adoption of SFAS No. 157. FSP 157-2 delays the effective date of SFAS 157 for all non-financial assets and non-financial liabilities, except for items that are recognized or disclosed at fair value in the financial statements on a recurring basis (at least annually), until the beginning of the first quarter of fiscal 2009. The adoption of SFAS 157 is not expected to have a significant impact on the Company’s consolidated financial statements when it is applied to non-financial assets and non-financial liabilities that are not measured at fair value on a recurring basis, beginning in the first quarter of 2009.</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December 2007, the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141(R)). Under SFAS 141(R), an entity is required to recognize the assets acquired, liabilities assumed, contractual contingencies, and contingent consideration at their fair value on the acquisition date. It further requires that acquisition-related costs be recognized separately from the acquisition and expensed as incurred; that restructuring costs generally be expensed in periods subsequent to the acquisition date; and that changes in accounting for deferred tax asset valuation allowances and acquired income tax uncertainties after the measurement period be recognized as a component of provision for taxes. In addition, acquired in-process research and development is capitalized as an intangible asset and amortized over its estimated useful life. For Intuitive, SFAS 141(R) is effective on a prospective basis for all business combinations for which the acquisition date is on or after the beginning of January 1, 2009, with the exception of the accounting for valuation allowances on deferred taxes and acquired contingencies under SFAS 109. Early adoption is not permitted. When SFAS 141(R) becomes effective, any tax related adjustments associated with acquisitions that closed prior to January 1, 2009 will be recorded through income tax expense, whereas the current accounting treatment would require any adjustment to be recognized through the purchase price. The adoption of SFAS 141(R) is not expected to have a significant impact on the Company’s consolidated financial statement for acquisitions prior to January 1, 2009.</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 AND FAIR VALUE MEASUREMENTS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investments, excluding put option from UBS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Amortized</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4"/>
              </w:rPr>
              <w:t>Losses</w:t>
            </w:r>
          </w:p>
        </w:tc>
        <w:tc>
          <w:tcPr>
            <w:tcW w:w="16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34,186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U.S. corporate debt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109,048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255,674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256,746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Municipal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131,483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(3,992)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U.S. corporate debt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166,215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(3,970)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123,458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443,143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(7,962)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438,899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Total short and long-term investments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698,817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(8,564)</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695,645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43,953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Municipal notes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156,250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corporate debt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304,699</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304,642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Municipal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U.S. corporate debt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154,573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Total long-term investments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207,166</w:t>
            </w:r>
          </w:p>
        </w:tc>
        <w:tc>
          <w:tcPr>
            <w:tcW w:w="16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207,914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short and long-term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511,865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512,556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maturities of the Company’s investments, excluding put option from UBS at December 31, 2008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Amortized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255,674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256,746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Due 1-5 years</w:t>
            </w:r>
          </w:p>
        </w:tc>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360,098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359,829</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Due &gt;5 years</w:t>
            </w:r>
          </w:p>
        </w:tc>
        <w:tc>
          <w:tcPr>
            <w:tcW w:w="4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83,045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79,070</w:t>
            </w:r>
          </w:p>
        </w:tc>
        <w:tc>
          <w:tcPr>
            <w:tcW w:w="0" w:type="dxa"/>
            <w:vAlign w:val="bottom"/>
          </w:tcPr>
          <w:p>
            <w:pPr>
              <w:spacing w:after="0"/>
              <w:rPr>
                <w:sz w:val="1"/>
                <w:szCs w:val="1"/>
                <w:color w:val="auto"/>
              </w:rPr>
            </w:pPr>
          </w:p>
        </w:tc>
      </w:tr>
      <w:tr>
        <w:trPr>
          <w:trHeight w:val="221"/>
        </w:trPr>
        <w:tc>
          <w:tcPr>
            <w:tcW w:w="2920" w:type="dxa"/>
            <w:vAlign w:val="bottom"/>
          </w:tcPr>
          <w:p>
            <w:pPr>
              <w:ind w:left="440"/>
              <w:spacing w:after="0"/>
              <w:rPr>
                <w:sz w:val="20"/>
                <w:szCs w:val="20"/>
                <w:color w:val="auto"/>
              </w:rPr>
            </w:pPr>
            <w:r>
              <w:rPr>
                <w:rFonts w:ascii="Arial" w:cs="Arial" w:eastAsia="Arial" w:hAnsi="Arial"/>
                <w:sz w:val="18"/>
                <w:szCs w:val="18"/>
                <w:color w:val="auto"/>
              </w:rPr>
              <w:t>Total</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698,817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695,645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640" w:type="dxa"/>
            <w:vAlign w:val="bottom"/>
            <w:vMerge w:val="restart"/>
          </w:tcPr>
          <w:p>
            <w:pPr>
              <w:jc w:val="right"/>
              <w:ind w:right="2592"/>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During the years ended December 31, 2008 and 2006, realized gains or losses recognized on the sale of investments were not material. During the year ended December 31, 2008, the Company recognized $11.6 million on the gain of the put right from UBS largely offset by the loss on the UBS ARS. During the year ended December 31, 2007, the Company realized gains of approximately $4.1 million on the sale of publicly-traded equity securities. As of December 31, 2008 and 2007, unrealized gain (loss) on investments, net of tax, of ($3.2) million and $0.4 million, respectively, were included in accumulated other comprehensive income (loss) in the accompanying Consolidated Balance Sheets.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the breakdown of the investments with unrealized losses at December 31, 2008 and 2007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b w:val="1"/>
                <w:bCs w:val="1"/>
                <w:color w:val="auto"/>
              </w:rPr>
              <w:t>Unrealized losses less</w:t>
            </w:r>
          </w:p>
        </w:tc>
        <w:tc>
          <w:tcPr>
            <w:tcW w:w="120" w:type="dxa"/>
            <w:vAlign w:val="bottom"/>
          </w:tcPr>
          <w:p>
            <w:pPr>
              <w:spacing w:after="0"/>
              <w:rPr>
                <w:sz w:val="14"/>
                <w:szCs w:val="14"/>
                <w:color w:val="auto"/>
              </w:rPr>
            </w:pPr>
          </w:p>
        </w:tc>
        <w:tc>
          <w:tcPr>
            <w:tcW w:w="19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4"/>
              </w:rPr>
              <w:t>Unrealized losses 12</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than 12 months</w:t>
            </w:r>
          </w:p>
        </w:tc>
        <w:tc>
          <w:tcPr>
            <w:tcW w:w="120" w:type="dxa"/>
            <w:vAlign w:val="bottom"/>
          </w:tcPr>
          <w:p>
            <w:pPr>
              <w:spacing w:after="0"/>
              <w:rPr>
                <w:sz w:val="14"/>
                <w:szCs w:val="14"/>
                <w:color w:val="auto"/>
              </w:rPr>
            </w:pPr>
          </w:p>
        </w:tc>
        <w:tc>
          <w:tcPr>
            <w:tcW w:w="19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6"/>
              </w:rPr>
              <w:t>months or greater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83"/>
              </w:rPr>
              <w:t>Total</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Fair</w:t>
            </w: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93"/>
              </w:rPr>
              <w:t>Fair</w:t>
            </w: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120" w:type="dxa"/>
            <w:vAlign w:val="bottom"/>
          </w:tcPr>
          <w:p>
            <w:pPr>
              <w:spacing w:after="0"/>
              <w:rPr>
                <w:sz w:val="14"/>
                <w:szCs w:val="14"/>
                <w:color w:val="auto"/>
              </w:rPr>
            </w:pPr>
          </w:p>
        </w:tc>
        <w:tc>
          <w:tcPr>
            <w:tcW w:w="600" w:type="dxa"/>
            <w:vAlign w:val="bottom"/>
          </w:tcPr>
          <w:p>
            <w:pPr>
              <w:jc w:val="right"/>
              <w:ind w:right="122"/>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Value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4"/>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89"/>
              </w:rPr>
              <w:t>Municipal notes</w:t>
            </w: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Auction rate securities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79,070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(3,975)</w:t>
            </w:r>
          </w:p>
        </w:tc>
        <w:tc>
          <w:tcPr>
            <w:tcW w:w="1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79,070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corporate debt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112,117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9,984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207,041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216,762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b w:val="1"/>
                <w:bCs w:val="1"/>
                <w:color w:val="auto"/>
              </w:rPr>
              <w:t>Unrealized losses less</w:t>
            </w:r>
          </w:p>
        </w:tc>
        <w:tc>
          <w:tcPr>
            <w:tcW w:w="120" w:type="dxa"/>
            <w:vAlign w:val="bottom"/>
          </w:tcPr>
          <w:p>
            <w:pPr>
              <w:spacing w:after="0"/>
              <w:rPr>
                <w:sz w:val="24"/>
                <w:szCs w:val="24"/>
                <w:color w:val="auto"/>
              </w:rPr>
            </w:pPr>
          </w:p>
        </w:tc>
        <w:tc>
          <w:tcPr>
            <w:tcW w:w="19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4"/>
              </w:rPr>
              <w:t>Unrealized losses 12</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than 12 months</w:t>
            </w:r>
          </w:p>
        </w:tc>
        <w:tc>
          <w:tcPr>
            <w:tcW w:w="120" w:type="dxa"/>
            <w:vAlign w:val="bottom"/>
          </w:tcPr>
          <w:p>
            <w:pPr>
              <w:spacing w:after="0"/>
              <w:rPr>
                <w:sz w:val="14"/>
                <w:szCs w:val="14"/>
                <w:color w:val="auto"/>
              </w:rPr>
            </w:pPr>
          </w:p>
        </w:tc>
        <w:tc>
          <w:tcPr>
            <w:tcW w:w="19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6"/>
              </w:rPr>
              <w:t>months or greater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83"/>
              </w:rPr>
              <w:t>Total</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Fair</w:t>
            </w:r>
          </w:p>
        </w:tc>
        <w:tc>
          <w:tcPr>
            <w:tcW w:w="3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93"/>
              </w:rPr>
              <w:t>Fair</w:t>
            </w: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December 31, 2007</w:t>
            </w:r>
          </w:p>
        </w:tc>
        <w:tc>
          <w:tcPr>
            <w:tcW w:w="120" w:type="dxa"/>
            <w:vAlign w:val="bottom"/>
          </w:tcPr>
          <w:p>
            <w:pPr>
              <w:spacing w:after="0"/>
              <w:rPr>
                <w:sz w:val="14"/>
                <w:szCs w:val="14"/>
                <w:color w:val="auto"/>
              </w:rPr>
            </w:pPr>
          </w:p>
        </w:tc>
        <w:tc>
          <w:tcPr>
            <w:tcW w:w="600" w:type="dxa"/>
            <w:vAlign w:val="bottom"/>
          </w:tcPr>
          <w:p>
            <w:pPr>
              <w:jc w:val="right"/>
              <w:ind w:right="122"/>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Value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4"/>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U.S. corporate debt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19,271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103,608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89,299</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20,270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109,569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unrealized losses on the investments in U.S. corporate debt and U.S. government agencies were the result of overall market risk aversion, lack of demand for securities that are non-government guaranteed, and the relative widening of credit spreads relative to the U.S. treasuries. The Company believes that it will be able to collect all principal and interest amounts due at maturity given the high credit quality of these investments. Since the decline in the market value is attributable to changes in market conditions and not credit quality, and since the Company has the ability and intent to hold those investments until a recovery of par value, which may be maturity, the Company does not consider these investments to be other-than temporarily impaired as of December 31, 2008.</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February 2008, auctions began to fail for these securities and each auction since then has failed. Approximately 10% of the Company’s investments portfolio comprises of these ARS, whose underlying assets are student loans which are substantially backed by the federal government. After the initial issuance of the securities, the interest rate on the securities is reset periodically, at intervals established at the time of issuance (primarily every twenty-eight days), based on market demand for a reset period. Auction-rate securities are bought and sold in the marketplace through a competitive bidding process often referred to as a “Dutch auction.” If there is insufficient interest in the securities at the time of an auction, the auction may not be completed and the rates may be reset to predetermined “penalty” or “maximum” rates based on mathematical formulas in accordance with each security’s prospectus.</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Consequently, the investments are not currently liquid. All ARS are currently rated AAA, the highest rating, except for one which is rated A2, by a rating agency. The Company does not expect the need to access these funds in the short-term; however, in the event the Company needed to access these funds, they are not expected to be accessible until one of the following occurs: a successful auction occurs, the issuer redeems the issue,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23" w:lineRule="auto"/>
        <w:rPr>
          <w:sz w:val="20"/>
          <w:szCs w:val="20"/>
          <w:color w:val="auto"/>
        </w:rPr>
      </w:pPr>
      <w:r>
        <w:rPr>
          <w:rFonts w:ascii="Arial" w:cs="Arial" w:eastAsia="Arial" w:hAnsi="Arial"/>
          <w:sz w:val="15"/>
          <w:szCs w:val="15"/>
          <w:color w:val="auto"/>
        </w:rPr>
        <w:t>buyer is found outside of the auction process or the underlying securities mature. Based on this, along with the underlying maturities of the securities, a portion of which is greater than 20 years, the Company has classified auction rate securities as long-term assets on its Consolidated Balance Sheet as of December 31, 2008. The ARS were classified as short-term investments as of December 31, 2007. The failures of these auctions do not affect the value of the collateral underlying the ARS, and the Company continues to earn and receive interest on its ARS at a pre-determined formula with spreads tied to particular interest rate indexes.</w:t>
      </w:r>
    </w:p>
    <w:p>
      <w:pPr>
        <w:spacing w:after="0" w:line="9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November 2008, the Company accepted an offer (the “Right”) from UBS AG (“UBS”), one of its investment providers, entitling the Company to sell at par value auction-rate securities originally purchased from UBS (approximately $71.2 million, par value) at anytime during a two-year period from June 30, 2010 through July 2, 2012. In accepting the Right, the Company also granted UBS the authority to sell or auction the ARS at par at any time up until the expiration date of the offer and released UBS from any claims relating to the marketing and sale of ARS. Although the Company expects to sell its ARS under the Right, if the Right is not exercised before July 2, 2012, it will expire and UBS will have no further rights or obligation to buy the Company’s ARS. In lieu of the acceptance of the Right, ARS will continue to accrue interest as determined by the auction process or the terms outlined in the prospectus of the ARS if the auction process fails.</w:t>
      </w:r>
    </w:p>
    <w:p>
      <w:pPr>
        <w:spacing w:after="0" w:line="14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UBS’s obligations under the Right are not secured by its assets and do not require UBS to obtain any financing to support its performance obligations under the Rights. UBS has disclaimed any assurance that it will have sufficient financial resources to satisfy its obligations under the Rights.</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Right represents a firm agreement in accordance with FASB Statement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133), which defines a firm agreement with an unrelated party, binding on both parties and usually legally enforceable, with the following characteristics: a) the agreement specifies all significant terms, including the quantity to be exchanged, the fixed price, and the timing of the transaction, and b) the agreement includes a disincentive for nonperformance that is sufficiently large to make performance probable. The enforceability of the Right results in a put option and should be recognized as a separate freestanding asset and is accounted for separately from the ARS investment. As of December 31, 2008, the Company recorded $11.6 million as the fair value of the put option asset, classified as long-term investment on the Balance Sheet as of December 31, 2008, with a corresponding credit to Interest and other income, net, in the Consolidated Statement of Income for the year ended December 31, 2008. The put option does not meet the definition of a derivative instrument under SFAS 133. Therefore, the Company elected to measure the put option at fair value under SFAS 159, which permits an entity to elect the fair value option for recognized financial assets, in order to match the changes in the fair value of the ARS. The Company valued the Right using a discounted cash flow approach including estimates of, based on data available as of December 31, 2008, interest rates, timing and amount of cash flow, adjusted for any bearer risk associated with UBS’s financial ability to repurchase the ARS beginning June 30, 2010. These assumptions are volatile and subject to change as the underlying sources of these assumptions and market conditions change.</w:t>
      </w:r>
    </w:p>
    <w:p>
      <w:pPr>
        <w:spacing w:after="0" w:line="12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Prior to accepting the UBS offer, the Company recorded its ARS as available-for-sale investments, and therefore recorded resulting unrealized gains or losses, net of tax, in accumulated other comprehensive income in Stockholders’ Equity. In connection with the acceptance of the UBS offer in November 2008, resulting in a right to require UBS to purchase the ARS at par value beginning on June 30, 2010, the Company has reclassified its ARS subject to the Right and held by UBS from available-for-sale to trading in accordance with FASB Statement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(SFAS 115). The transfer to trading securities reflects management’s intent to exercise its put option during the period June 30, 2010 to July 3, 2012. Prior to its agreement with UBS, the management’s intent was to hold the ARS until the earlier of anticipated recovery in market value or maturity. Upon transfer to trading securities, the Company immediately recognized a loss of $11.6 million, included in Interest and other income, net, for the amount of the unrealized loss not previously recognized in earnings. The Company holds additional ARS with another investment advisor who has not made an offer similar to UBS. These ARS will continue to be held as available-for-sale. The Company intends to retain its investment in the issuer until the earlier of anticipated recovery in market value or maturity and as a result has not recorded an other-than-temporary loss on these ARS.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jc w:val="both"/>
        <w:ind w:right="180" w:firstLine="456"/>
        <w:spacing w:after="0" w:line="291" w:lineRule="auto"/>
        <w:rPr>
          <w:sz w:val="20"/>
          <w:szCs w:val="20"/>
          <w:color w:val="auto"/>
        </w:rPr>
      </w:pPr>
      <w:r>
        <w:rPr>
          <w:rFonts w:ascii="Arial" w:cs="Arial" w:eastAsia="Arial" w:hAnsi="Arial"/>
          <w:sz w:val="16"/>
          <w:szCs w:val="16"/>
          <w:color w:val="auto"/>
        </w:rPr>
        <w:t>SFAS 157 defines fair value, establishes a framework for measuring fair value under generally accepted accounting principles and enhances disclosures about fair value measurements. Fair value is defined under SFAS 157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SFAS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SFAS 157, the following table represents the Company’s fair value hierarchy for its financial assets (cash equivalents and investments)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measured at fair value on a recurring basis as of December 31, 2008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gridSpan w:val="13"/>
          </w:tcPr>
          <w:p>
            <w:pPr>
              <w:jc w:val="right"/>
              <w:ind w:right="400"/>
              <w:spacing w:after="0"/>
              <w:rPr>
                <w:sz w:val="20"/>
                <w:szCs w:val="20"/>
                <w:color w:val="auto"/>
              </w:rPr>
            </w:pPr>
            <w:r>
              <w:rPr>
                <w:rFonts w:ascii="Arial" w:cs="Arial" w:eastAsia="Arial" w:hAnsi="Arial"/>
                <w:sz w:val="14"/>
                <w:szCs w:val="14"/>
                <w:b w:val="1"/>
                <w:bCs w:val="1"/>
                <w:color w:val="auto"/>
                <w:w w:val="94"/>
              </w:rPr>
              <w:t>Fair Value Measurements at Reporting Date Using</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8"/>
              </w:rPr>
              <w:t>Level 1</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Level 2</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156,729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Municipal notes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79,070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Put option</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11,605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272,453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U.S. Treasuries</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45,188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226,077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201,917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584,585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90,675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877,177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166,729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3,198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169,927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244,193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22,635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337,194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90,675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450,504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201,917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584,585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90,675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877,177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Historically, the fair value of ARS investments approximates par value due to the frequent resets through the auction process. While the Company continues to earn interest on its ARS investments at the contractual rate, these investments are not currently trading and therefore do not have a readily determinable market value. Accordingly, the estimated fair value of the ARS no longer approximates par value. At December 31, 2008, the Company’s investment advisors provided a valuation based on Level 3 inputs for the ARS investments. The investment advisors utilized a discounted cash flow approach to arrive at this valuation, which was corroborated by a separate and comparable discounted cash flow analysis prepared by the Company. The assumptions used in preparing the discounted cash flow model include estimates of, based on data available as of December 31, 2008, interest rates, timing and amount of cash flows, credit and liquidity premiums, and expected holding periods of the ARS. The Company valued the Right as a put option asset using a discounted cash flow approach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estimates of, based on Level 3 data available as of December 31, 2008, interest rates, timing and amount of cash flow, adjusted for any bearer risk associated with UBS’s financial ability to repurchase the ARS beginning June 30, 2010. The assumptions used in valuing both the ARS and the put option are volatile and subject to change as the underlying sources of these assumptions and market conditions change.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reconciliation for all assets measured at fair value using significant unobservable inputs (Level 3)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87"/>
              </w:rPr>
              <w:t>Fair Value Measurements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6"/>
          </w:tcPr>
          <w:p>
            <w:pPr>
              <w:jc w:val="center"/>
              <w:ind w:left="296"/>
              <w:spacing w:after="0" w:line="149" w:lineRule="exact"/>
              <w:rPr>
                <w:sz w:val="20"/>
                <w:szCs w:val="20"/>
                <w:color w:val="auto"/>
              </w:rPr>
            </w:pPr>
            <w:r>
              <w:rPr>
                <w:rFonts w:ascii="Arial" w:cs="Arial" w:eastAsia="Arial" w:hAnsi="Arial"/>
                <w:sz w:val="14"/>
                <w:szCs w:val="14"/>
                <w:b w:val="1"/>
                <w:bCs w:val="1"/>
                <w:color w:val="auto"/>
                <w:w w:val="88"/>
              </w:rPr>
              <w:t>Reporting Date Using</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9"/>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significant Unobservable 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(Level 3)</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Put Option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Transferred to Level 3</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158,262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Sales/Maturities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(83,762)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put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Total gains or (losses):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Included in other comprehensive income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60" w:type="dxa"/>
            <w:vAlign w:val="bottom"/>
            <w:gridSpan w:val="2"/>
          </w:tcPr>
          <w:p>
            <w:pPr>
              <w:ind w:left="440"/>
              <w:spacing w:after="0"/>
              <w:rPr>
                <w:sz w:val="20"/>
                <w:szCs w:val="20"/>
                <w:color w:val="auto"/>
              </w:rPr>
            </w:pPr>
            <w:r>
              <w:rPr>
                <w:rFonts w:ascii="Arial" w:cs="Arial" w:eastAsia="Arial" w:hAnsi="Arial"/>
                <w:sz w:val="18"/>
                <w:szCs w:val="18"/>
                <w:color w:val="auto"/>
              </w:rPr>
              <w:t>Included in earnings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(11,605)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0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jc w:val="right"/>
              <w:ind w:right="4212"/>
              <w:spacing w:after="0"/>
              <w:rPr>
                <w:sz w:val="20"/>
                <w:szCs w:val="20"/>
                <w:color w:val="auto"/>
              </w:rPr>
            </w:pPr>
            <w:r>
              <w:rPr>
                <w:rFonts w:ascii="Arial" w:cs="Arial" w:eastAsia="Arial" w:hAnsi="Arial"/>
                <w:sz w:val="18"/>
                <w:szCs w:val="18"/>
                <w:b w:val="1"/>
                <w:bCs w:val="1"/>
                <w:color w:val="auto"/>
                <w:w w:val="96"/>
              </w:rPr>
              <w:t>NOTE 4. BALANCE SHEET DETAILS</w:t>
            </w: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3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gridSpan w:val="3"/>
          </w:tcPr>
          <w:p>
            <w:pPr>
              <w:ind w:left="460"/>
              <w:spacing w:after="0"/>
              <w:rPr>
                <w:sz w:val="20"/>
                <w:szCs w:val="20"/>
                <w:color w:val="auto"/>
              </w:rPr>
            </w:pPr>
            <w:r>
              <w:rPr>
                <w:rFonts w:ascii="Arial" w:cs="Arial" w:eastAsia="Arial" w:hAnsi="Arial"/>
                <w:sz w:val="18"/>
                <w:szCs w:val="18"/>
                <w:color w:val="auto"/>
              </w:rPr>
              <w:t>The following table provides details of selected balance sheet items (in thousands):</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Raw materials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19,901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12,809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Finished goods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16,350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63,460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32,416</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22,944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Land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33,571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15,520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Equipment and furniture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32,020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25,616</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Building/leasehold improvements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Purchased software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25,953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15,924</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Construction-in-process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164,215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102,020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(47,194)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(33,927)</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0" w:type="dxa"/>
            <w:vAlign w:val="bottom"/>
            <w:vMerge w:val="restart"/>
          </w:tcPr>
          <w:p>
            <w:pPr>
              <w:spacing w:after="0"/>
              <w:rPr>
                <w:sz w:val="20"/>
                <w:szCs w:val="20"/>
                <w:color w:val="auto"/>
              </w:rPr>
            </w:pPr>
            <w:r>
              <w:rPr>
                <w:rFonts w:ascii="Arial" w:cs="Arial" w:eastAsia="Arial" w:hAnsi="Arial"/>
                <w:sz w:val="18"/>
                <w:szCs w:val="18"/>
                <w:color w:val="auto"/>
              </w:rPr>
              <w:t>Total Property, plant and equipment, net</w:t>
            </w:r>
          </w:p>
        </w:tc>
        <w:tc>
          <w:tcPr>
            <w:tcW w:w="114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1140" w:type="dxa"/>
            <w:vAlign w:val="bottom"/>
            <w:gridSpan w:val="2"/>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$ 117,021</w:t>
            </w:r>
          </w:p>
        </w:tc>
        <w:tc>
          <w:tcPr>
            <w:tcW w:w="2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68,093</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jc w:val="right"/>
              <w:ind w:right="1432"/>
              <w:spacing w:after="0"/>
              <w:rPr>
                <w:sz w:val="20"/>
                <w:szCs w:val="20"/>
                <w:color w:val="auto"/>
              </w:rPr>
            </w:pPr>
            <w:r>
              <w:rPr>
                <w:rFonts w:ascii="Arial" w:cs="Arial" w:eastAsia="Arial" w:hAnsi="Arial"/>
                <w:sz w:val="18"/>
                <w:szCs w:val="18"/>
                <w:color w:val="auto"/>
              </w:rPr>
              <w:t>71</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goodwill amounts relate to the acquisition of Computer Motion, Inc in June 2003. The changes in the carrying amount of goodwill during the year ended December 31, 2007 were the result of adjustments to deferred tax assets acquired and realized tax benefits from stock options issued in the Computer Motion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details of the Company’s total intangible assets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Gross</w:t>
            </w:r>
          </w:p>
        </w:tc>
        <w:tc>
          <w:tcPr>
            <w:tcW w:w="1420" w:type="dxa"/>
            <w:vAlign w:val="bottom"/>
            <w:gridSpan w:val="3"/>
          </w:tcPr>
          <w:p>
            <w:pPr>
              <w:ind w:left="640"/>
              <w:spacing w:after="0"/>
              <w:rPr>
                <w:sz w:val="20"/>
                <w:szCs w:val="20"/>
                <w:color w:val="auto"/>
              </w:rPr>
            </w:pPr>
            <w:r>
              <w:rPr>
                <w:rFonts w:ascii="Arial" w:cs="Arial" w:eastAsia="Arial" w:hAnsi="Arial"/>
                <w:sz w:val="14"/>
                <w:szCs w:val="14"/>
                <w:b w:val="1"/>
                <w:bCs w:val="1"/>
                <w:color w:val="auto"/>
                <w:w w:val="88"/>
              </w:rPr>
              <w:t>Amortization</w:t>
            </w:r>
          </w:p>
        </w:tc>
        <w:tc>
          <w:tcPr>
            <w:tcW w:w="1360" w:type="dxa"/>
            <w:vAlign w:val="bottom"/>
            <w:gridSpan w:val="3"/>
          </w:tcPr>
          <w:p>
            <w:pPr>
              <w:ind w:left="640"/>
              <w:spacing w:after="0"/>
              <w:rPr>
                <w:sz w:val="20"/>
                <w:szCs w:val="20"/>
                <w:color w:val="auto"/>
              </w:rPr>
            </w:pPr>
            <w:r>
              <w:rPr>
                <w:rFonts w:ascii="Arial" w:cs="Arial" w:eastAsia="Arial" w:hAnsi="Arial"/>
                <w:sz w:val="14"/>
                <w:szCs w:val="14"/>
                <w:b w:val="1"/>
                <w:bCs w:val="1"/>
                <w:color w:val="auto"/>
                <w:w w:val="92"/>
              </w:rPr>
              <w:t>Impairment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intellectual property</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73,388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55,479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6"/>
              </w:rPr>
              <w:t>291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78,488</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21,973</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291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December 31, 2007</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Gross</w:t>
            </w:r>
          </w:p>
        </w:tc>
        <w:tc>
          <w:tcPr>
            <w:tcW w:w="1420" w:type="dxa"/>
            <w:vAlign w:val="bottom"/>
            <w:gridSpan w:val="3"/>
          </w:tcPr>
          <w:p>
            <w:pPr>
              <w:ind w:left="640"/>
              <w:spacing w:after="0"/>
              <w:rPr>
                <w:sz w:val="20"/>
                <w:szCs w:val="20"/>
                <w:color w:val="auto"/>
              </w:rPr>
            </w:pPr>
            <w:r>
              <w:rPr>
                <w:rFonts w:ascii="Arial" w:cs="Arial" w:eastAsia="Arial" w:hAnsi="Arial"/>
                <w:sz w:val="14"/>
                <w:szCs w:val="14"/>
                <w:b w:val="1"/>
                <w:bCs w:val="1"/>
                <w:color w:val="auto"/>
                <w:w w:val="88"/>
              </w:rPr>
              <w:t>Amortization</w:t>
            </w:r>
          </w:p>
        </w:tc>
        <w:tc>
          <w:tcPr>
            <w:tcW w:w="1360" w:type="dxa"/>
            <w:vAlign w:val="bottom"/>
            <w:gridSpan w:val="3"/>
          </w:tcPr>
          <w:p>
            <w:pPr>
              <w:ind w:left="640"/>
              <w:spacing w:after="0"/>
              <w:rPr>
                <w:sz w:val="20"/>
                <w:szCs w:val="20"/>
                <w:color w:val="auto"/>
              </w:rPr>
            </w:pPr>
            <w:r>
              <w:rPr>
                <w:rFonts w:ascii="Arial" w:cs="Arial" w:eastAsia="Arial" w:hAnsi="Arial"/>
                <w:sz w:val="14"/>
                <w:szCs w:val="14"/>
                <w:b w:val="1"/>
                <w:bCs w:val="1"/>
                <w:color w:val="auto"/>
                <w:w w:val="92"/>
              </w:rPr>
              <w:t>Impairment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1,300</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intellectual property</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30,187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6"/>
              </w:rPr>
              <w:t>291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35,287</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291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acquired intellectual property for $43.5 million and $19.7 million during the years ended December 31, 2008 and 2007, respectively. The weighted average useful lives was five years for each of the years ended December 31, 2008 and 2007. Amortization expense related to intangible assets was $10.5 million, $2.0 million and $1.7 million for the years ended December 31, 2008, 2007 and 2006,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of intangible assets as of December 31, 2008 is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Fiscal Year</w:t>
            </w:r>
          </w:p>
        </w:tc>
        <w:tc>
          <w:tcPr>
            <w:tcW w:w="20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2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$ 14,505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2010</w:t>
            </w:r>
          </w:p>
        </w:tc>
        <w:tc>
          <w:tcPr>
            <w:tcW w:w="2020" w:type="dxa"/>
            <w:vAlign w:val="bottom"/>
          </w:tcPr>
          <w:p>
            <w:pPr>
              <w:spacing w:after="0"/>
              <w:rPr>
                <w:sz w:val="18"/>
                <w:szCs w:val="18"/>
                <w:color w:val="auto"/>
              </w:rPr>
            </w:pP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2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2020" w:type="dxa"/>
            <w:vAlign w:val="bottom"/>
          </w:tcPr>
          <w:p>
            <w:pPr>
              <w:spacing w:after="0"/>
              <w:rPr>
                <w:sz w:val="18"/>
                <w:szCs w:val="18"/>
                <w:color w:val="auto"/>
              </w:rPr>
            </w:pP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11,293</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2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$ 56,224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60" w:type="dxa"/>
            <w:vAlign w:val="bottom"/>
            <w:vMerge w:val="restart"/>
          </w:tcPr>
          <w:p>
            <w:pPr>
              <w:jc w:val="right"/>
              <w:ind w:right="4012"/>
              <w:spacing w:after="0"/>
              <w:rPr>
                <w:sz w:val="20"/>
                <w:szCs w:val="20"/>
                <w:color w:val="auto"/>
              </w:rPr>
            </w:pPr>
            <w:r>
              <w:rPr>
                <w:rFonts w:ascii="Arial" w:cs="Arial" w:eastAsia="Arial" w:hAnsi="Arial"/>
                <w:sz w:val="18"/>
                <w:szCs w:val="18"/>
                <w:color w:val="auto"/>
              </w:rPr>
              <w:t>72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leases office space in Milford, Connecticut, in Aubonne, Switzerland and in Mexicali, Mexico. The Company leases automobiles for certain sales employees. These leases have varying terms, predominantly no longer than three years.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w w:val="90"/>
              </w:rPr>
              <w:t>Future minimum lease commitments under the Company’s operating leases as of December 31, 2008 are as follows (in thousands):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9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2010</w:t>
            </w:r>
          </w:p>
        </w:tc>
        <w:tc>
          <w:tcPr>
            <w:tcW w:w="50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2013 and beyond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Other commitments include an estimated amount of approximately $138.0 million of all open cancellable purchase orders and contractual obligations that occur in the ordinary course of business, including commitments with contract manufacturers and suppliers, for which we have not received the goods or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Company is subject to various legal proceedings and disputes that arise in the normal course of business. These matters include product liability actions, patent infringements, contract disputes, and other matters. The Company does not know whether it will prevail in these matters nor can it assure that any remedy could be reached on commercially viable terms, if at all. Based on currently available information, the Company believes that it has meritorious defenses to these actions and should an unfavorable outcome arise, there can be no assurance such outcome would not have material adverse effect on its future results of operations, liquidity or financial position. In accordance with SFAS No. 5, “</w:t>
      </w:r>
      <w:r>
        <w:rPr>
          <w:rFonts w:ascii="Arial" w:cs="Arial" w:eastAsia="Arial" w:hAnsi="Arial"/>
          <w:sz w:val="15"/>
          <w:szCs w:val="15"/>
          <w:i w:val="1"/>
          <w:iCs w:val="1"/>
          <w:color w:val="auto"/>
        </w:rPr>
        <w:t>Accounting for Contingencies</w:t>
      </w:r>
      <w:r>
        <w:rPr>
          <w:rFonts w:ascii="Arial" w:cs="Arial" w:eastAsia="Arial" w:hAnsi="Arial"/>
          <w:sz w:val="15"/>
          <w:szCs w:val="15"/>
          <w:color w:val="auto"/>
        </w:rPr>
        <w:t>,” (SFAS 5),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net of tax,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2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89"/>
              </w:rPr>
              <w:t>Accumulated net unrealized gain (loss) on available-for-sale securities</w:t>
            </w:r>
          </w:p>
        </w:tc>
        <w:tc>
          <w:tcPr>
            <w:tcW w:w="5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$(3,170)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40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227</w:t>
            </w:r>
          </w:p>
        </w:tc>
        <w:tc>
          <w:tcPr>
            <w:tcW w:w="3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income (loss)</w:t>
            </w:r>
          </w:p>
        </w:tc>
        <w:tc>
          <w:tcPr>
            <w:tcW w:w="5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40" w:type="dxa"/>
            <w:vAlign w:val="bottom"/>
            <w:vMerge w:val="restart"/>
          </w:tcPr>
          <w:p>
            <w:pPr>
              <w:jc w:val="right"/>
              <w:ind w:right="3672"/>
              <w:spacing w:after="0"/>
              <w:rPr>
                <w:sz w:val="20"/>
                <w:szCs w:val="20"/>
                <w:color w:val="auto"/>
              </w:rPr>
            </w:pPr>
            <w:r>
              <w:rPr>
                <w:rFonts w:ascii="Arial" w:cs="Arial" w:eastAsia="Arial" w:hAnsi="Arial"/>
                <w:sz w:val="18"/>
                <w:szCs w:val="18"/>
                <w:color w:val="auto"/>
              </w:rPr>
              <w:t>73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comprehensive income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1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$204,315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$144,537</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securities: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Arial" w:cs="Arial" w:eastAsia="Arial" w:hAnsi="Arial"/>
                <w:sz w:val="18"/>
                <w:szCs w:val="18"/>
                <w:color w:val="auto"/>
              </w:rPr>
              <w:t>Unrealized gain (loss) arising during period</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(15,187)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2,258</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reclassification adjustment for gains (losses) realized in 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other comprehensive income</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200,842</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144,362</w:t>
            </w:r>
          </w:p>
        </w:tc>
        <w:tc>
          <w:tcPr>
            <w:tcW w:w="38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74,226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conjunction with the Computer Motion acquisition in June 2003, the Company assumed warrants to purchase 724,729 shares of common stock at a weighted average exercise price of $20.52 per share. The warrants were fully vested and immediately exercisable.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warrants activity during the years ended December 31, 2007 and 2006:</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48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1"/>
                <w:szCs w:val="11"/>
                <w:color w:val="auto"/>
              </w:rPr>
            </w:pP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1"/>
                <w:szCs w:val="11"/>
                <w:color w:val="auto"/>
              </w:rPr>
            </w:pPr>
          </w:p>
        </w:tc>
        <w:tc>
          <w:tcPr>
            <w:tcW w:w="7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r>
      <w:tr>
        <w:trPr>
          <w:trHeight w:val="149"/>
        </w:trPr>
        <w:tc>
          <w:tcPr>
            <w:tcW w:w="64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64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Under</w:t>
            </w:r>
          </w:p>
        </w:tc>
        <w:tc>
          <w:tcPr>
            <w:tcW w:w="420" w:type="dxa"/>
            <w:vAlign w:val="bottom"/>
          </w:tcPr>
          <w:p>
            <w:pPr>
              <w:spacing w:after="0"/>
              <w:rPr>
                <w:sz w:val="12"/>
                <w:szCs w:val="12"/>
                <w:color w:val="auto"/>
              </w:rPr>
            </w:pPr>
          </w:p>
        </w:tc>
        <w:tc>
          <w:tcPr>
            <w:tcW w:w="11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Under</w:t>
            </w:r>
          </w:p>
        </w:tc>
        <w:tc>
          <w:tcPr>
            <w:tcW w:w="42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64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Warrant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Warrant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87,149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238,703</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Warrants exercised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(79,306)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12.84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(151,554)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17.96</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Warrants expired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17.31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87,149</w:t>
            </w:r>
          </w:p>
        </w:tc>
        <w:tc>
          <w:tcPr>
            <w:tcW w:w="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13.24</w:t>
            </w:r>
          </w:p>
        </w:tc>
      </w:tr>
      <w:tr>
        <w:trPr>
          <w:trHeight w:val="20"/>
        </w:trPr>
        <w:tc>
          <w:tcPr>
            <w:tcW w:w="6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STOCK OPTION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2000 Equity Incentive Plan</w:t>
      </w:r>
    </w:p>
    <w:p>
      <w:pPr>
        <w:spacing w:after="0" w:line="9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5"/>
          <w:szCs w:val="15"/>
          <w:color w:val="auto"/>
        </w:rPr>
        <w:t>In March 2000, the Board of Directors adopted the 2000 Equity Incentive Plan (the “2000 Plan”), which took effect upon the closing of the Company’s initial public offering. Under this plan, certain employees, consultants and non-employee directors may be granted Incentive Stock Options (“ISOs”) and Nonstatutory Stock Options (“NSOs”) to purchase shares of the Company’s common stock. The 2000 Plan permitted ISOs to be granted at an exercise price not less than the fair value on the date of the grant and NSOs at an exercise price not less than 85% of the fair value on the date of grant. Options granted under the 2000 Plan generally expire 10 years from the date of grant and become exercisable upon grant subject to repurchase rights in favor of the Company until vested.</w:t>
      </w:r>
    </w:p>
    <w:p>
      <w:pPr>
        <w:spacing w:after="0" w:line="1" w:lineRule="exact"/>
        <w:rPr>
          <w:sz w:val="20"/>
          <w:szCs w:val="20"/>
          <w:color w:val="auto"/>
        </w:rPr>
      </w:pPr>
    </w:p>
    <w:p>
      <w:pPr>
        <w:jc w:val="both"/>
        <w:ind w:right="480"/>
        <w:spacing w:after="0" w:line="225" w:lineRule="auto"/>
        <w:rPr>
          <w:sz w:val="20"/>
          <w:szCs w:val="20"/>
          <w:color w:val="auto"/>
        </w:rPr>
      </w:pPr>
      <w:r>
        <w:rPr>
          <w:rFonts w:ascii="Arial" w:cs="Arial" w:eastAsia="Arial" w:hAnsi="Arial"/>
          <w:sz w:val="18"/>
          <w:szCs w:val="18"/>
          <w:color w:val="auto"/>
        </w:rPr>
        <w:t>Options generally vest 12.5% upon completion of 6 months service and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 month thereafter; however, options may have been granted with different vesting terms as determined by the Board of Directors. The plan contains an evergreen provision whereby the authorized shares are automatically increased concurrent with the Company’s annual meeting of shareholders.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2000 Non-Employee Directors’ Stock Option Plan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March 2000, the Board of Directors adopted the 2000 Non-Employee Directors’ Stock Option Plan (the “Directors’ Plan”). The plan contains an evergreen provision whereby the authorized shares are automatically increased concurrent with the Company’s annual meeting of stockholders. The plan provides an initial grant of 15,000 shares, reduced to 10,000 shares in October 2008, to members of the Board who are not employees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4" w:lineRule="auto"/>
        <w:rPr>
          <w:sz w:val="20"/>
          <w:szCs w:val="20"/>
          <w:color w:val="auto"/>
        </w:rPr>
      </w:pPr>
      <w:r>
        <w:rPr>
          <w:rFonts w:ascii="Arial" w:cs="Arial" w:eastAsia="Arial" w:hAnsi="Arial"/>
          <w:sz w:val="15"/>
          <w:szCs w:val="15"/>
          <w:color w:val="auto"/>
        </w:rPr>
        <w:t>Company (“External Directors”). At any subsequent year, each External Director who has been an External Director for at least six months is granted an option to purchase 5,000 (decreased to 4,250 in October 2008) additional shares. Options are granted at an exercise price not less than the fair market value of the stock on the date of grant and have a term not to exceed ten years. Initial grants are vested over a three-year period with one-third of the shares vesting after one year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date of grant and 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shares vesting monthly thereafter. Annual grants are vested one year from the date of the grant.</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2000 Employee Stock Purchase Plan</w:t>
      </w:r>
    </w:p>
    <w:p>
      <w:pPr>
        <w:spacing w:after="0" w:line="9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In March 2000, the Board of Directors adopted the 2000 Employee Stock Purchase Plan (ESPP). The plan contains an evergreen provision whereby the authorized shares are automatically increased concurrent with the Company’s annual meeting of shareholders. Employees are generally eligible to participate in the Employee Stock Purchase Plan if they are customarily employed by the Company for more than 20 hours per week and more than 5 months in a calendar year and are not 5% stockholders of the Company. Under the Employee Stock Purchase Plan, eligible employees may select a rate of payroll deduction up to 15% of their eligible compensation subject to certain maximum purchase limitations. The duration for each offering period is twenty-four months long and is divided into four shorter purchase periods approximately six months in length. Offerings are concurrent. The purchase price of the shares under the offering is the lesser of 85% of the fair market value of the shares on the offering date or 85% of the fair market value of the shares on the purchase date. A two-year look-back feature in the ESPP causes the offering period to reset if the fair value of the Company’s common stock on the purchase date is less than that on the original offering date. ESPP purchases by employees are settled with newly-issued common stock from the ESPP’s previously authorized and available pool of shares.</w:t>
      </w:r>
    </w:p>
    <w:p>
      <w:pPr>
        <w:spacing w:after="0" w:line="10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issued 85,850, 103,943 and 138,825 shares under the Employee Stock Purchase Plan, representing approximately $8.9 million, $6.2 million and $4.8 million in employee contributions for the years ended December 31, 2008, 2007 and 2006, respectively. As of December 31, 2008, there were approximately 732,850 shares reserved for grant under this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STOCK OPTION PLAN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activity under the 2000 and Directors’ Plans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3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Shares</w:t>
            </w:r>
          </w:p>
        </w:tc>
        <w:tc>
          <w:tcPr>
            <w:tcW w:w="2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STOCK OPTIONS OUTSTANDING</w:t>
            </w:r>
          </w:p>
        </w:tc>
        <w:tc>
          <w:tcPr>
            <w:tcW w:w="0" w:type="dxa"/>
            <w:vAlign w:val="bottom"/>
          </w:tcPr>
          <w:p>
            <w:pPr>
              <w:spacing w:after="0"/>
              <w:rPr>
                <w:sz w:val="1"/>
                <w:szCs w:val="1"/>
                <w:color w:val="auto"/>
              </w:rPr>
            </w:pPr>
          </w:p>
        </w:tc>
      </w:tr>
      <w:tr>
        <w:trPr>
          <w:trHeight w:val="129"/>
        </w:trPr>
        <w:tc>
          <w:tcPr>
            <w:tcW w:w="74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Available</w:t>
            </w:r>
          </w:p>
        </w:tc>
        <w:tc>
          <w:tcPr>
            <w:tcW w:w="14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 Price Per</w:t>
            </w: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for Grant</w:t>
            </w: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1"/>
        </w:trPr>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 2007 (with 1,446,466 options exerciseable at a weighted-average</w:t>
            </w:r>
          </w:p>
        </w:tc>
        <w:tc>
          <w:tcPr>
            <w:tcW w:w="7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exercise price of $50.29 per share and with 2,972,672 options vested and expected to vest at a</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exercise price of $86.66 per share)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7,595,732</w:t>
            </w:r>
          </w:p>
        </w:tc>
        <w:tc>
          <w:tcPr>
            <w:tcW w:w="6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3,136,231</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Options authorized</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2,094,843</w:t>
            </w:r>
          </w:p>
        </w:tc>
        <w:tc>
          <w:tcPr>
            <w:tcW w:w="62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(1,403,357)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1,403,357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(627,392)</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canceled/expired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162,141</w:t>
            </w: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(162,911)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tcPr>
          <w:p>
            <w:pPr>
              <w:spacing w:after="0"/>
              <w:rPr>
                <w:sz w:val="20"/>
                <w:szCs w:val="20"/>
                <w:color w:val="auto"/>
              </w:rPr>
            </w:pPr>
            <w:r>
              <w:rPr>
                <w:rFonts w:ascii="Arial" w:cs="Arial" w:eastAsia="Arial" w:hAnsi="Arial"/>
                <w:sz w:val="18"/>
                <w:szCs w:val="18"/>
                <w:color w:val="auto"/>
              </w:rPr>
              <w:t>Balance at December 31, 2008 (with 1,791,270 options exerciseable at a weighted-average</w:t>
            </w:r>
          </w:p>
        </w:tc>
        <w:tc>
          <w:tcPr>
            <w:tcW w:w="7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w w:val="95"/>
              </w:rPr>
              <w:t>exercise price of $100.71 per share and with 3,551,419 options vested and expected to vest at</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220"/>
              <w:spacing w:after="0"/>
              <w:rPr>
                <w:sz w:val="20"/>
                <w:szCs w:val="20"/>
                <w:color w:val="auto"/>
              </w:rPr>
            </w:pPr>
            <w:r>
              <w:rPr>
                <w:rFonts w:ascii="Arial" w:cs="Arial" w:eastAsia="Arial" w:hAnsi="Arial"/>
                <w:sz w:val="18"/>
                <w:szCs w:val="18"/>
                <w:color w:val="auto"/>
              </w:rPr>
              <w:t>a weighted-average exercise price of $160.68 per share)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8,449,359</w:t>
            </w:r>
          </w:p>
        </w:tc>
        <w:tc>
          <w:tcPr>
            <w:tcW w:w="6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3,749,285</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163.25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aggregate intrinsic value of options exercised under our stock option plans determined as of the date of option exercise was $140.9 million, $184.5 million, and $55.6 during the years ended December 31, 2008, 2007, and 2006, respectively. Cash received from option exercises and employee stock purchase plans for the years ended December 31, 2008, 2007 and 2006 was $44.7 million, $55.0 million and $17.8 million,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significant ranges of outstanding and exercisable options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w w:val="97"/>
              </w:rPr>
              <w:t>Options Outstanding</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Range of</w:t>
            </w:r>
          </w:p>
        </w:tc>
        <w:tc>
          <w:tcPr>
            <w:tcW w:w="78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Intrisic</w:t>
            </w:r>
          </w:p>
        </w:tc>
        <w:tc>
          <w:tcPr>
            <w:tcW w:w="8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1"/>
              </w:rPr>
              <w:t>Intrisic</w:t>
            </w:r>
          </w:p>
        </w:tc>
        <w:tc>
          <w:tcPr>
            <w:tcW w:w="0" w:type="dxa"/>
            <w:vAlign w:val="bottom"/>
          </w:tcPr>
          <w:p>
            <w:pPr>
              <w:spacing w:after="0"/>
              <w:rPr>
                <w:sz w:val="1"/>
                <w:szCs w:val="1"/>
                <w:color w:val="auto"/>
              </w:rPr>
            </w:pPr>
          </w:p>
        </w:tc>
      </w:tr>
      <w:tr>
        <w:trPr>
          <w:trHeight w:val="161"/>
        </w:trPr>
        <w:tc>
          <w:tcPr>
            <w:tcW w:w="3300" w:type="dxa"/>
            <w:vAlign w:val="bottom"/>
            <w:gridSpan w:val="4"/>
          </w:tcPr>
          <w:p>
            <w:pPr>
              <w:spacing w:after="0"/>
              <w:rPr>
                <w:sz w:val="20"/>
                <w:szCs w:val="20"/>
                <w:color w:val="auto"/>
              </w:rPr>
            </w:pPr>
            <w:r>
              <w:rPr>
                <w:rFonts w:ascii="Arial" w:cs="Arial" w:eastAsia="Arial" w:hAnsi="Arial"/>
                <w:sz w:val="14"/>
                <w:szCs w:val="14"/>
                <w:b w:val="1"/>
                <w:bCs w:val="1"/>
                <w:color w:val="auto"/>
              </w:rPr>
              <w:t>Exercise Prices</w:t>
            </w:r>
          </w:p>
        </w:tc>
        <w:tc>
          <w:tcPr>
            <w:tcW w:w="780" w:type="dxa"/>
            <w:vAlign w:val="bottom"/>
          </w:tcPr>
          <w:p>
            <w:pPr>
              <w:jc w:val="right"/>
              <w:ind w:right="37"/>
              <w:spacing w:after="0"/>
              <w:rPr>
                <w:sz w:val="20"/>
                <w:szCs w:val="20"/>
                <w:color w:val="auto"/>
              </w:rPr>
            </w:pPr>
            <w:r>
              <w:rPr>
                <w:rFonts w:ascii="Arial" w:cs="Arial" w:eastAsia="Arial" w:hAnsi="Arial"/>
                <w:sz w:val="14"/>
                <w:szCs w:val="14"/>
                <w:b w:val="1"/>
                <w:bCs w:val="1"/>
                <w:color w:val="auto"/>
              </w:rPr>
              <w:t>of Shares</w:t>
            </w: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Value (1)</w:t>
            </w: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Life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7"/>
              <w:spacing w:after="0"/>
              <w:rPr>
                <w:sz w:val="20"/>
                <w:szCs w:val="20"/>
                <w:color w:val="auto"/>
              </w:rPr>
            </w:pPr>
            <w:r>
              <w:rPr>
                <w:rFonts w:ascii="Arial" w:cs="Arial" w:eastAsia="Arial" w:hAnsi="Arial"/>
                <w:sz w:val="14"/>
                <w:szCs w:val="14"/>
                <w:b w:val="1"/>
                <w:bCs w:val="1"/>
                <w:color w:val="auto"/>
                <w:w w:val="89"/>
              </w:rPr>
              <w:t>Value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87"/>
              </w:rPr>
              <w:t>$0.00–47.86</w:t>
            </w:r>
          </w:p>
        </w:tc>
        <w:tc>
          <w:tcPr>
            <w:tcW w:w="238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838,961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812,528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$48.15–112.66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1,160,113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563,976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$113.06–303.00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757,691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210.90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203,367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$303.27–303.27</w:t>
            </w:r>
          </w:p>
        </w:tc>
        <w:tc>
          <w:tcPr>
            <w:tcW w:w="780" w:type="dxa"/>
            <w:vAlign w:val="bottom"/>
          </w:tcPr>
          <w:p>
            <w:pPr>
              <w:jc w:val="right"/>
              <w:spacing w:after="0"/>
              <w:rPr>
                <w:sz w:val="20"/>
                <w:szCs w:val="20"/>
                <w:color w:val="auto"/>
              </w:rPr>
            </w:pPr>
            <w:r>
              <w:rPr>
                <w:rFonts w:ascii="Arial" w:cs="Arial" w:eastAsia="Arial" w:hAnsi="Arial"/>
                <w:sz w:val="18"/>
                <w:szCs w:val="18"/>
                <w:color w:val="auto"/>
              </w:rPr>
              <w:t>858,974</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180,819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303.27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$309.46–353.00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133,546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331.74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329.10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3,749,285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163.25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107,478,081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1,791,270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100.71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93,934,893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aggregate intrinsic value represents the total pre-tax intrinsic value, based on the Company’s closing stock price of $126.99 as of December 31, 2008, which would have been received by the option holders had all option holders exercised their options as of that date.</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2008, the shares vested and expected to vest had a weighted average remaining contractual life of 7.6 years and aggregate intrinsic value of $105.8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stock-based compensation charges: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Cost of sales—services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48,149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22,560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16,037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17,109</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20" w:type="dxa"/>
            <w:vAlign w:val="bottom"/>
          </w:tcPr>
          <w:p>
            <w:pPr>
              <w:spacing w:after="0"/>
              <w:rPr>
                <w:sz w:val="18"/>
                <w:szCs w:val="18"/>
                <w:color w:val="auto"/>
              </w:rPr>
            </w:pPr>
          </w:p>
        </w:tc>
      </w:tr>
      <w:tr>
        <w:trPr>
          <w:trHeight w:val="221"/>
        </w:trPr>
        <w:tc>
          <w:tcPr>
            <w:tcW w:w="7760" w:type="dxa"/>
            <w:vAlign w:val="bottom"/>
            <w:gridSpan w:val="2"/>
          </w:tcPr>
          <w:p>
            <w:pPr>
              <w:spacing w:after="0"/>
              <w:rPr>
                <w:sz w:val="20"/>
                <w:szCs w:val="20"/>
                <w:color w:val="auto"/>
              </w:rPr>
            </w:pPr>
            <w:r>
              <w:rPr>
                <w:rFonts w:ascii="Arial" w:cs="Arial" w:eastAsia="Arial" w:hAnsi="Arial"/>
                <w:sz w:val="18"/>
                <w:szCs w:val="18"/>
                <w:color w:val="auto"/>
              </w:rPr>
              <w:t>Stock-based compensation expense before income taxes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76,646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36,292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25,260</w:t>
            </w:r>
          </w:p>
        </w:tc>
      </w:tr>
      <w:tr>
        <w:trPr>
          <w:trHeight w:val="218"/>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23,205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12,651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20" w:type="dxa"/>
            <w:vAlign w:val="bottom"/>
          </w:tcPr>
          <w:p>
            <w:pPr>
              <w:spacing w:after="0"/>
              <w:rPr>
                <w:sz w:val="18"/>
                <w:szCs w:val="18"/>
                <w:color w:val="auto"/>
              </w:rPr>
            </w:pPr>
          </w:p>
        </w:tc>
      </w:tr>
      <w:tr>
        <w:trPr>
          <w:trHeight w:val="222"/>
        </w:trPr>
        <w:tc>
          <w:tcPr>
            <w:tcW w:w="7760" w:type="dxa"/>
            <w:vAlign w:val="bottom"/>
            <w:gridSpan w:val="2"/>
          </w:tcPr>
          <w:p>
            <w:pPr>
              <w:spacing w:after="0"/>
              <w:rPr>
                <w:sz w:val="20"/>
                <w:szCs w:val="20"/>
                <w:color w:val="auto"/>
              </w:rPr>
            </w:pPr>
            <w:r>
              <w:rPr>
                <w:rFonts w:ascii="Arial" w:cs="Arial" w:eastAsia="Arial" w:hAnsi="Arial"/>
                <w:sz w:val="18"/>
                <w:szCs w:val="18"/>
                <w:color w:val="auto"/>
              </w:rPr>
              <w:t>Stock-based compensation expense after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53,441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23,641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16,298</w:t>
            </w: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Black-Scholes option pricing model is used to estimate the fair value of stock options granted under the Company’s stock-based compensation plans and rights to acquire stock granted under the Company’s employee stock purchase plan. The weighted average estimated fair values of the stock options and rights to acquire stock granted under the Company’s employee purchase plan as well as the weighted average assumptions used in calculating these values during the years ended December 31, 2008, 2007 and 2006, were based on estimates at the date of grant as follows: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 PLANS</w:t>
            </w:r>
          </w:p>
        </w:tc>
        <w:tc>
          <w:tcPr>
            <w:tcW w:w="3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6"/>
              </w:rPr>
              <w:t>Year Ended December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gridSpan w:val="3"/>
            <w:vMerge w:val="continue"/>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0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risk free interest rate</w:t>
            </w: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volatility</w:t>
            </w:r>
          </w:p>
        </w:tc>
        <w:tc>
          <w:tcPr>
            <w:tcW w:w="4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Weighted average fair value at grant date</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$138.33</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$61.19</w:t>
            </w:r>
          </w:p>
        </w:tc>
        <w:tc>
          <w:tcPr>
            <w:tcW w:w="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340" w:type="dxa"/>
            <w:vAlign w:val="bottom"/>
          </w:tcPr>
          <w:p>
            <w:pPr>
              <w:jc w:val="right"/>
              <w:ind w:right="1932"/>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EMPLOYEE STOCK PURCHASE PLAN</w:t>
            </w: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9"/>
                <w:szCs w:val="19"/>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400" w:type="dxa"/>
            <w:vAlign w:val="bottom"/>
            <w:gridSpan w:val="3"/>
            <w:vMerge w:val="continue"/>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risk free interest rate</w:t>
            </w:r>
          </w:p>
        </w:tc>
        <w:tc>
          <w:tcPr>
            <w:tcW w:w="4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1.3</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volatility</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7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Weighted average fair value at grant date</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$108.08</w:t>
            </w:r>
          </w:p>
        </w:tc>
        <w:tc>
          <w:tcPr>
            <w:tcW w:w="1740" w:type="dxa"/>
            <w:vAlign w:val="bottom"/>
            <w:gridSpan w:val="3"/>
          </w:tcPr>
          <w:p>
            <w:pPr>
              <w:jc w:val="right"/>
              <w:ind w:right="700"/>
              <w:spacing w:after="0"/>
              <w:rPr>
                <w:sz w:val="20"/>
                <w:szCs w:val="20"/>
                <w:color w:val="auto"/>
              </w:rPr>
            </w:pPr>
            <w:r>
              <w:rPr>
                <w:rFonts w:ascii="Arial" w:cs="Arial" w:eastAsia="Arial" w:hAnsi="Arial"/>
                <w:sz w:val="18"/>
                <w:szCs w:val="18"/>
                <w:color w:val="auto"/>
              </w:rPr>
              <w:t>$42.54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b w:val="1"/>
          <w:bCs w:val="1"/>
          <w:color w:val="auto"/>
        </w:rPr>
        <w:t>Expected Term</w:t>
      </w:r>
      <w:r>
        <w:rPr>
          <w:rFonts w:ascii="Arial" w:cs="Arial" w:eastAsia="Arial" w:hAnsi="Arial"/>
          <w:sz w:val="15"/>
          <w:szCs w:val="15"/>
          <w:color w:val="auto"/>
        </w:rPr>
        <w:t>: The Company’s expected term represents the weighted-average period that the Company’s stock options are expected to be outstanding.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expected term is based on the observed and expected time to post-vesting exercise of options by employees. The Company uses historical exercise patterns of previously granted options in relation to stock price movements to derive an employee behavioral pattern used to forecast expected exercise patterns.</w:t>
      </w:r>
    </w:p>
    <w:p>
      <w:pPr>
        <w:spacing w:after="0" w:line="7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Expected Volatility</w:t>
      </w:r>
      <w:r>
        <w:rPr>
          <w:rFonts w:ascii="Arial" w:cs="Arial" w:eastAsia="Arial" w:hAnsi="Arial"/>
          <w:sz w:val="18"/>
          <w:szCs w:val="18"/>
          <w:color w:val="auto"/>
        </w:rPr>
        <w:t>: The Company uses market-based implied volatility. Market-based implied volatility is derived based on at least one-year traded</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on the Company’s common stock. The selection of the proportion of market-based volatility depends, among other things, on the availability of traded options on the Company’s stock and term of such options. Due to sufficient volume of the traded options, the Company used, in accordance with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(SAB 107), 100% market-based implied volatility. The selection of the implied volatility approach was based upon the availability of traded options on the Company’s stock and the Company’s assessment that implied volatility is more representative of future stock price trends than historical volatility.</w:t>
      </w:r>
    </w:p>
    <w:p>
      <w:pPr>
        <w:spacing w:after="0" w:line="139"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Risk-Free Interest Rate</w:t>
      </w:r>
      <w:r>
        <w:rPr>
          <w:rFonts w:ascii="Arial" w:cs="Arial" w:eastAsia="Arial" w:hAnsi="Arial"/>
          <w:sz w:val="18"/>
          <w:szCs w:val="18"/>
          <w:color w:val="auto"/>
        </w:rPr>
        <w:t>: The risk-free interest rate is based on the U.S. Treasury yield curve in effect at the time of grant for the expected term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w:t>
      </w:r>
    </w:p>
    <w:p>
      <w:pPr>
        <w:spacing w:after="0" w:line="12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As stock-based compensation expense recognized in the consolidated statements of income during the years ended December 31, 2008, 2007 and 2006 is based on awards ultimately expected to vest, it has been reduced for estimated forfeitures. SFAS 123(R) requires forfeitures to be estimated at the time of grant and revised, if necessary, in subsequent periods if actual forfeitures differ from those estimated.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$72.3 million, $33.3 million, and $22.9 million of compensation expense relative to stock options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2007 and 2006. As of December 31, 2008, there was $213.8 million of total unrecognized compensation expense related to non-vested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options. This unrecognized compensation expense is expected to be recognized over a weighted average period of 2.6 years.</w:t>
      </w:r>
    </w:p>
    <w:p>
      <w:pPr>
        <w:spacing w:after="0" w:line="165"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The Company recorded $4.4 million, $3.0 million, and $2.4 million of compensation expense relative to employee stock purchases for the years ended December 31, 2008, 2007 and 2006. As of December 31, 2008, there was approximately $4.5 million of total unrecognized compensation expense related to employee stock purchases. This unrecognized compensation expense is expected to be recognized over a weighted average period of 1.3 years.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Excess tax benefits are realized tax benefits from tax deductions for exercised options in excess of the deferred tax asset attributable to stock compensation costs for such options. Excess tax benefits of $53.3 million, $62.9 million, and $23.0 million for the years ended December 31, 2008, 2007 and 2006 have been classified as a financing cash inflow. The total income tax benefit recognized in the income statement for stock-based compensation costs was $23.2 million, $12.7 million and $9.0 million for the years ended December 31, 2008, 2007 and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CHARGES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January 2007, the Company announced that it is closing its operations in France and moving its international headquarters to Switzerland. The Company believes this restructuring will streamline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international operations and optimize its tax structure for the long term. The Company incurred restructuring costs of approximately $820,000 through the end of 2007, primarily relating to employee severance arrangements, relocation costs and lease termination costs. These amounts are recorded in selling, general and administrative expenses during the year ended December 31, 2007 and no additional costs were incurred during the year ended December 31,2008. As of December 31, 2008, the Company has no outstanding obligations.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before provision for income taxes for the years ended December 31, 2008, 2007 and 2006 consisted of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7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$ 284,473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$ 209,539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120,128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50,730</w:t>
            </w:r>
          </w:p>
        </w:tc>
        <w:tc>
          <w:tcPr>
            <w:tcW w:w="4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27,695</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income before provision for income taxes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$ 335,203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$ 237,234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120,138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for the years ended December 31, 2008, 2007 and 2006 consisted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Federal</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$134,722</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85,858</w:t>
            </w:r>
          </w:p>
        </w:tc>
        <w:tc>
          <w:tcPr>
            <w:tcW w:w="46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Foreign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151,459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91,969</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5"/>
              </w:rPr>
              <w:t>$ (19,075)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(1,777)</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State</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(1,759)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2,505</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 (20,571)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728</w:t>
            </w:r>
          </w:p>
        </w:tc>
        <w:tc>
          <w:tcPr>
            <w:tcW w:w="46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11,432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130,888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92,697</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48,094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Income tax expense differs from amounts computed by applying the statutory rate of 35% for the years ended December 31, 2008, 2007 and 2006 as a result of the following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w:t>
            </w:r>
          </w:p>
        </w:tc>
        <w:tc>
          <w:tcPr>
            <w:tcW w:w="406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$ 117,321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$83,032</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$42,048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Increase (reduction) in tax resulting from:</w:t>
            </w: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benefits</w:t>
            </w:r>
          </w:p>
        </w:tc>
        <w:tc>
          <w:tcPr>
            <w:tcW w:w="406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14,378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4060" w:type="dxa"/>
            <w:vAlign w:val="bottom"/>
            <w:gridSpan w:val="3"/>
          </w:tcPr>
          <w:p>
            <w:pPr>
              <w:jc w:val="right"/>
              <w:ind w:right="412"/>
              <w:spacing w:after="0"/>
              <w:rPr>
                <w:sz w:val="20"/>
                <w:szCs w:val="20"/>
                <w:color w:val="auto"/>
              </w:rPr>
            </w:pPr>
            <w:r>
              <w:rPr>
                <w:rFonts w:ascii="Arial" w:cs="Arial" w:eastAsia="Arial" w:hAnsi="Arial"/>
                <w:sz w:val="18"/>
                <w:szCs w:val="18"/>
                <w:color w:val="auto"/>
              </w:rPr>
              <w:t>(2,854)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(2,336)</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1"/>
        </w:trPr>
        <w:tc>
          <w:tcPr>
            <w:tcW w:w="3820" w:type="dxa"/>
            <w:vAlign w:val="bottom"/>
          </w:tcPr>
          <w:p>
            <w:pPr>
              <w:spacing w:after="0"/>
              <w:rPr>
                <w:sz w:val="19"/>
                <w:szCs w:val="19"/>
                <w:color w:val="auto"/>
              </w:rPr>
            </w:pPr>
          </w:p>
        </w:tc>
        <w:tc>
          <w:tcPr>
            <w:tcW w:w="4060" w:type="dxa"/>
            <w:vAlign w:val="bottom"/>
            <w:gridSpan w:val="3"/>
          </w:tcPr>
          <w:p>
            <w:pPr>
              <w:jc w:val="right"/>
              <w:ind w:right="4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130,888</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92,697</w:t>
            </w:r>
          </w:p>
        </w:tc>
        <w:tc>
          <w:tcPr>
            <w:tcW w:w="4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48,094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40" w:type="dxa"/>
            <w:vAlign w:val="bottom"/>
            <w:vMerge w:val="restart"/>
          </w:tcPr>
          <w:p>
            <w:pPr>
              <w:jc w:val="right"/>
              <w:ind w:right="1692"/>
              <w:spacing w:after="0"/>
              <w:rPr>
                <w:sz w:val="20"/>
                <w:szCs w:val="20"/>
                <w:color w:val="auto"/>
              </w:rPr>
            </w:pPr>
            <w:r>
              <w:rPr>
                <w:rFonts w:ascii="Arial" w:cs="Arial" w:eastAsia="Arial" w:hAnsi="Arial"/>
                <w:sz w:val="18"/>
                <w:szCs w:val="18"/>
                <w:color w:val="auto"/>
              </w:rPr>
              <w:t>78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Deferred income taxes reflect tax carry forwards and the net tax effects of temporary differences between the carrying amounts of assets and liabilities for financial reporting and the amounts used for income tax purposes. Significant components of the Company’s deferred tax assets are as follows (in thousands):</w:t>
      </w:r>
    </w:p>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Net operating loss carryforward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30,101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Expenses deducted in later years for tax purposes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17,413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tcPr>
          <w:p>
            <w:pPr>
              <w:ind w:left="440"/>
              <w:spacing w:after="0"/>
              <w:rPr>
                <w:sz w:val="20"/>
                <w:szCs w:val="20"/>
                <w:color w:val="auto"/>
              </w:rPr>
            </w:pPr>
            <w:r>
              <w:rPr>
                <w:rFonts w:ascii="Arial" w:cs="Arial" w:eastAsia="Arial" w:hAnsi="Arial"/>
                <w:sz w:val="18"/>
                <w:szCs w:val="18"/>
                <w:color w:val="auto"/>
              </w:rPr>
              <w:t>Gross deferred tax assets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48,678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(1,071)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40"/>
              <w:spacing w:after="0"/>
              <w:rPr>
                <w:sz w:val="20"/>
                <w:szCs w:val="20"/>
                <w:color w:val="auto"/>
              </w:rPr>
            </w:pPr>
            <w:r>
              <w:rPr>
                <w:rFonts w:ascii="Arial" w:cs="Arial" w:eastAsia="Arial" w:hAnsi="Arial"/>
                <w:sz w:val="18"/>
                <w:szCs w:val="18"/>
                <w:color w:val="auto"/>
              </w:rPr>
              <w:t>Deferred tax assets</w:t>
            </w: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vMerge w:val="continue"/>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47,607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27,707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9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Identified intangible assets related to acquisitions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(1,965)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(2,854)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40"/>
              <w:spacing w:after="0"/>
              <w:rPr>
                <w:sz w:val="20"/>
                <w:szCs w:val="20"/>
                <w:color w:val="auto"/>
              </w:rPr>
            </w:pPr>
            <w:r>
              <w:rPr>
                <w:rFonts w:ascii="Arial" w:cs="Arial" w:eastAsia="Arial" w:hAnsi="Arial"/>
                <w:sz w:val="18"/>
                <w:szCs w:val="18"/>
                <w:color w:val="auto"/>
              </w:rPr>
              <w:t>Deferred tax liabilities</w:t>
            </w: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(2,250)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(3,130)</w:t>
            </w:r>
          </w:p>
        </w:tc>
        <w:tc>
          <w:tcPr>
            <w:tcW w:w="0" w:type="dxa"/>
            <w:vAlign w:val="bottom"/>
          </w:tcPr>
          <w:p>
            <w:pPr>
              <w:spacing w:after="0"/>
              <w:rPr>
                <w:sz w:val="1"/>
                <w:szCs w:val="1"/>
                <w:color w:val="auto"/>
              </w:rPr>
            </w:pPr>
          </w:p>
        </w:tc>
      </w:tr>
      <w:tr>
        <w:trPr>
          <w:trHeight w:val="28"/>
        </w:trPr>
        <w:tc>
          <w:tcPr>
            <w:tcW w:w="5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45,357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December 31, 2008, the Company had state net operating loss carry forwards of approximately $0.7 million. If not utilized, the state loss carry forwards will begin to expire in 2015.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the Company had no recognized research credit carry forwards for both federal and California tax purposes.</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Company recorded a valuation allowance for deferred tax assets of $1.1 million for the year ended December 31, 2008, which was primarily related to unrealized investment losses included in other comprehensive income. Management had determined that it was not more likely than not the tax benefits related to the unrealized investment loss will be recognized when realized, as such the Company recorded a valuation allowance against these deferred tax assets.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recorded a net increase of its gross unrecognized tax benefits of approximately $20.0 million during the year ended December 31, 2008. The Company had gross unrecognized tax benefits of approximately $22.0 million and $42.0 million as of January 1, 2008 and December 31, 2008, respectively, of which $16.6 million and $36.7 million, if recognized would result in a reduction of the Company’s effective tax rate, respectively. During the year ended December 31, 2008, interest and penalties related to unrecognized tax benefits was approximately $0.9 million, which was included in the income tax provision. The Company recorded majority of its net unrecognized tax benefits in “Other accrued liabilities” on the Consolidated Balance Sheet as of December 31, 2008.</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reconciliation of the change in the balance of gross unrecognized income tax benefits from January 1, 2008 to December 31, 2008 is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Unrecognized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Income Tax</w:t>
            </w: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3"/>
              </w:rPr>
              <w:t>Benefits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related to prior year</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Balance at December 31, 2008</w:t>
            </w:r>
          </w:p>
        </w:tc>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vMerge w:val="continue"/>
          </w:tcPr>
          <w:p>
            <w:pPr>
              <w:spacing w:after="0"/>
              <w:rPr>
                <w:sz w:val="19"/>
                <w:szCs w:val="19"/>
                <w:color w:val="auto"/>
              </w:rPr>
            </w:pP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200" w:type="dxa"/>
            <w:vAlign w:val="bottom"/>
            <w:vMerge w:val="restart"/>
          </w:tcPr>
          <w:p>
            <w:pPr>
              <w:jc w:val="right"/>
              <w:ind w:right="4212"/>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Company files federal, state and foreign income tax returns in many jurisdictions in the United States and abroad. For U.S. federal and California income tax purposes, the statute of limitation currently remains open for all years since inception due to utilization of net operating losses and research and development credits generated in prior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INCOME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computation of basic and diluted net income per common share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89"/>
              </w:rPr>
              <w:t>Year Ended December 31,</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204,315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144,537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outstanding</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37,831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40"/>
              <w:spacing w:after="0"/>
              <w:rPr>
                <w:sz w:val="20"/>
                <w:szCs w:val="20"/>
                <w:color w:val="auto"/>
              </w:rPr>
            </w:pPr>
            <w:r>
              <w:rPr>
                <w:rFonts w:ascii="Arial" w:cs="Arial" w:eastAsia="Arial" w:hAnsi="Arial"/>
                <w:sz w:val="18"/>
                <w:szCs w:val="18"/>
                <w:color w:val="auto"/>
              </w:rPr>
              <w:t>Basic net income per share</w:t>
            </w:r>
          </w:p>
        </w:tc>
        <w:tc>
          <w:tcPr>
            <w:tcW w:w="1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Weighted-average shares outstanding used in basic calculation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37,831</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common stock equivalents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40"/>
              <w:spacing w:after="0"/>
              <w:rPr>
                <w:sz w:val="20"/>
                <w:szCs w:val="20"/>
                <w:color w:val="auto"/>
              </w:rPr>
            </w:pPr>
            <w:r>
              <w:rPr>
                <w:rFonts w:ascii="Arial" w:cs="Arial" w:eastAsia="Arial" w:hAnsi="Arial"/>
                <w:sz w:val="18"/>
                <w:szCs w:val="18"/>
                <w:color w:val="auto"/>
              </w:rPr>
              <w:t>Weighted-average shares used in computing diluted net income per common share</w:t>
            </w:r>
          </w:p>
        </w:tc>
        <w:tc>
          <w:tcPr>
            <w:tcW w:w="1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39,021</w:t>
            </w: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38,093</w:t>
            </w:r>
          </w:p>
        </w:tc>
        <w:tc>
          <w:tcPr>
            <w:tcW w:w="0" w:type="dxa"/>
            <w:vAlign w:val="bottom"/>
          </w:tcPr>
          <w:p>
            <w:pPr>
              <w:spacing w:after="0"/>
              <w:rPr>
                <w:sz w:val="1"/>
                <w:szCs w:val="1"/>
                <w:color w:val="auto"/>
              </w:rPr>
            </w:pPr>
          </w:p>
        </w:tc>
      </w:tr>
      <w:tr>
        <w:trPr>
          <w:trHeight w:val="28"/>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net income per share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Employee stock options to purchase approximately 1,212,700, 74,000 and 875,000 shares for the years ended December 31, 2008, 2007 and 2006, respectively, were outstanding, but were not included in the computation of diluted earnings per share because their effect would have been antidilutive.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Company sponsors various retirement plans for its eligible U.S. and non-U.S. employees. For employees in the U.S., the Company maintains the Intuitive Surgical, Inc. 401(k) Plan (the “Plan”). As allowed under Section 401(k) of the Internal Revenue Code, the Plan provides tax-deferred salary contributions for eligible U.S. employees. The Plan allows employees to contribute up to 75% of their annual compensation to the Plan on a pretax and after-tax basis. Employee contributions are limited to a maximum annual amount as set periodically by the Internal Revenue Code. Employer matching contributions are made solely at the Company’s discretion. No employer matching contributions were made to the Plan during the years ended December 31, 2008, 2007 and 2006.</w:t>
      </w:r>
    </w:p>
    <w:p>
      <w:pPr>
        <w:spacing w:after="0" w:line="10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Plan allows employees who meet the age requirements and reach the Plan contribution limits to make a catch-up contribution not to exceed the limit set forth in the Internal Revenue Code. In addition, the Plan provides for discretionary profit-sharing contributions as determined by the Board of Directors. Such contributions to the Plan are allocated among eligible participants in the proportion of their salaries to the total salaries of all participants. There were no discretionary profit-sharing contributions made during the years ended December 31, 2008, 2007 and 2006.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Q4</w:t>
            </w:r>
          </w:p>
        </w:tc>
        <w:tc>
          <w:tcPr>
            <w:tcW w:w="2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188,194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219,189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235,992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231,545</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Gross profit</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129,807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156,056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169,575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165,340</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50,758</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r>
      <w:tr>
        <w:trPr>
          <w:trHeight w:val="222"/>
        </w:trPr>
        <w:tc>
          <w:tcPr>
            <w:tcW w:w="3900" w:type="dxa"/>
            <w:vAlign w:val="bottom"/>
          </w:tcPr>
          <w:p>
            <w:pPr>
              <w:ind w:left="440"/>
              <w:spacing w:after="0"/>
              <w:rPr>
                <w:sz w:val="20"/>
                <w:szCs w:val="20"/>
                <w:color w:val="auto"/>
              </w:rPr>
            </w:pPr>
            <w:r>
              <w:rPr>
                <w:rFonts w:ascii="Arial" w:cs="Arial" w:eastAsia="Arial" w:hAnsi="Arial"/>
                <w:sz w:val="18"/>
                <w:szCs w:val="18"/>
                <w:color w:val="auto"/>
              </w:rPr>
              <w:t>Diluted</w:t>
            </w:r>
          </w:p>
        </w:tc>
        <w:tc>
          <w:tcPr>
            <w:tcW w:w="3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r>
      <w:tr>
        <w:trPr>
          <w:trHeight w:val="358"/>
        </w:trPr>
        <w:tc>
          <w:tcPr>
            <w:tcW w:w="39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9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Q4</w:t>
            </w:r>
          </w:p>
        </w:tc>
        <w:tc>
          <w:tcPr>
            <w:tcW w:w="2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114,229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140,249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156,904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189,446</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Gross profit</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76,508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94,108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108,470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135,200</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49,154</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22"/>
        </w:trPr>
        <w:tc>
          <w:tcPr>
            <w:tcW w:w="3900" w:type="dxa"/>
            <w:vAlign w:val="bottom"/>
          </w:tcPr>
          <w:p>
            <w:pPr>
              <w:ind w:left="440"/>
              <w:spacing w:after="0"/>
              <w:rPr>
                <w:sz w:val="20"/>
                <w:szCs w:val="20"/>
                <w:color w:val="auto"/>
              </w:rPr>
            </w:pPr>
            <w:r>
              <w:rPr>
                <w:rFonts w:ascii="Arial" w:cs="Arial" w:eastAsia="Arial" w:hAnsi="Arial"/>
                <w:sz w:val="18"/>
                <w:szCs w:val="18"/>
                <w:color w:val="auto"/>
              </w:rPr>
              <w:t>Diluted</w:t>
            </w:r>
          </w:p>
        </w:tc>
        <w:tc>
          <w:tcPr>
            <w:tcW w:w="3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r>
      <w:tr>
        <w:trPr>
          <w:trHeight w:val="356"/>
        </w:trPr>
        <w:tc>
          <w:tcPr>
            <w:tcW w:w="3900" w:type="dxa"/>
            <w:vAlign w:val="bottom"/>
          </w:tcPr>
          <w:p>
            <w:pPr>
              <w:spacing w:after="0"/>
              <w:rPr>
                <w:sz w:val="24"/>
                <w:szCs w:val="24"/>
                <w:color w:val="auto"/>
              </w:rPr>
            </w:pPr>
          </w:p>
        </w:tc>
        <w:tc>
          <w:tcPr>
            <w:tcW w:w="3620" w:type="dxa"/>
            <w:vAlign w:val="bottom"/>
          </w:tcPr>
          <w:p>
            <w:pPr>
              <w:jc w:val="right"/>
              <w:ind w:right="1632"/>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378"/>
        </w:trPr>
        <w:tc>
          <w:tcPr>
            <w:tcW w:w="3820" w:type="dxa"/>
            <w:vAlign w:val="bottom"/>
          </w:tcPr>
          <w:p>
            <w:pPr>
              <w:spacing w:after="0"/>
              <w:rPr>
                <w:sz w:val="24"/>
                <w:szCs w:val="24"/>
                <w:color w:val="auto"/>
              </w:rPr>
            </w:pPr>
          </w:p>
        </w:tc>
        <w:tc>
          <w:tcPr>
            <w:tcW w:w="3300" w:type="dxa"/>
            <w:vAlign w:val="bottom"/>
            <w:gridSpan w:val="2"/>
          </w:tcPr>
          <w:p>
            <w:pPr>
              <w:jc w:val="center"/>
              <w:ind w:left="418"/>
              <w:spacing w:after="0"/>
              <w:rPr>
                <w:sz w:val="20"/>
                <w:szCs w:val="20"/>
                <w:color w:val="auto"/>
              </w:rPr>
            </w:pPr>
            <w:r>
              <w:rPr>
                <w:rFonts w:ascii="Arial" w:cs="Arial" w:eastAsia="Arial" w:hAnsi="Arial"/>
                <w:sz w:val="18"/>
                <w:szCs w:val="18"/>
                <w:b w:val="1"/>
                <w:bCs w:val="1"/>
                <w:color w:val="auto"/>
              </w:rPr>
              <w:t>INTUITIVE SURGICAL, INC.</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85"/>
        </w:trPr>
        <w:tc>
          <w:tcPr>
            <w:tcW w:w="3820" w:type="dxa"/>
            <w:vAlign w:val="bottom"/>
          </w:tcPr>
          <w:p>
            <w:pPr>
              <w:spacing w:after="0"/>
              <w:rPr>
                <w:sz w:val="24"/>
                <w:szCs w:val="24"/>
                <w:color w:val="auto"/>
              </w:rPr>
            </w:pPr>
          </w:p>
        </w:tc>
        <w:tc>
          <w:tcPr>
            <w:tcW w:w="3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VALUATION AND QUALIFYING ACCOUNTS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8"/>
        </w:trPr>
        <w:tc>
          <w:tcPr>
            <w:tcW w:w="3820" w:type="dxa"/>
            <w:vAlign w:val="bottom"/>
          </w:tcPr>
          <w:p>
            <w:pPr>
              <w:spacing w:after="0"/>
              <w:rPr>
                <w:sz w:val="19"/>
                <w:szCs w:val="19"/>
                <w:color w:val="auto"/>
              </w:rPr>
            </w:pPr>
          </w:p>
        </w:tc>
        <w:tc>
          <w:tcPr>
            <w:tcW w:w="3300" w:type="dxa"/>
            <w:vAlign w:val="bottom"/>
            <w:gridSpan w:val="2"/>
          </w:tcPr>
          <w:p>
            <w:pPr>
              <w:jc w:val="center"/>
              <w:ind w:left="398"/>
              <w:spacing w:after="0"/>
              <w:rPr>
                <w:sz w:val="20"/>
                <w:szCs w:val="20"/>
                <w:color w:val="auto"/>
              </w:rPr>
            </w:pPr>
            <w:r>
              <w:rPr>
                <w:rFonts w:ascii="Arial" w:cs="Arial" w:eastAsia="Arial" w:hAnsi="Arial"/>
                <w:sz w:val="18"/>
                <w:szCs w:val="18"/>
                <w:b w:val="1"/>
                <w:bCs w:val="1"/>
                <w:color w:val="auto"/>
                <w:w w:val="97"/>
              </w:rPr>
              <w:t>(IN THOUSANDS)</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40"/>
        </w:trPr>
        <w:tc>
          <w:tcPr>
            <w:tcW w:w="38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2"/>
              </w:rPr>
              <w:t>Balance at</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49"/>
        </w:trPr>
        <w:tc>
          <w:tcPr>
            <w:tcW w:w="38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Balance at</w:t>
            </w:r>
          </w:p>
        </w:tc>
      </w:tr>
      <w:tr>
        <w:trPr>
          <w:trHeight w:val="161"/>
        </w:trPr>
        <w:tc>
          <w:tcPr>
            <w:tcW w:w="3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4"/>
                <w:szCs w:val="14"/>
                <w:b w:val="1"/>
                <w:bCs w:val="1"/>
                <w:color w:val="auto"/>
                <w:w w:val="84"/>
              </w:rPr>
              <w:t>of Year</w:t>
            </w:r>
          </w:p>
        </w:tc>
        <w:tc>
          <w:tcPr>
            <w:tcW w:w="54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Additions</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Deductions (1)</w:t>
            </w:r>
          </w:p>
        </w:tc>
        <w:tc>
          <w:tcPr>
            <w:tcW w:w="5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End of Year</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Allowance for doubtful accounts and sales returns</w:t>
            </w:r>
          </w:p>
        </w:tc>
        <w:tc>
          <w:tcPr>
            <w:tcW w:w="3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Year ended December 31, 2008</w:t>
            </w:r>
          </w:p>
        </w:tc>
        <w:tc>
          <w:tcPr>
            <w:tcW w:w="3300" w:type="dxa"/>
            <w:vAlign w:val="bottom"/>
            <w:gridSpan w:val="2"/>
          </w:tcPr>
          <w:p>
            <w:pPr>
              <w:ind w:left="32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3,793</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11,976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(11,669)</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4,100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3300" w:type="dxa"/>
            <w:vAlign w:val="bottom"/>
            <w:gridSpan w:val="2"/>
            <w:shd w:val="clear" w:color="auto" w:fill="CCEEFF"/>
          </w:tcPr>
          <w:p>
            <w:pPr>
              <w:ind w:left="322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7,446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(5,631)</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3300" w:type="dxa"/>
            <w:vAlign w:val="bottom"/>
            <w:gridSpan w:val="2"/>
          </w:tcPr>
          <w:p>
            <w:pPr>
              <w:ind w:left="32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1,591</w:t>
            </w:r>
          </w:p>
        </w:tc>
        <w:tc>
          <w:tcPr>
            <w:tcW w:w="1640" w:type="dxa"/>
            <w:vAlign w:val="bottom"/>
            <w:gridSpan w:val="3"/>
          </w:tcPr>
          <w:p>
            <w:pPr>
              <w:jc w:val="right"/>
              <w:ind w:right="540"/>
              <w:spacing w:after="0"/>
              <w:rPr>
                <w:sz w:val="20"/>
                <w:szCs w:val="20"/>
                <w:color w:val="auto"/>
              </w:rPr>
            </w:pPr>
            <w:r>
              <w:rPr>
                <w:rFonts w:ascii="Arial" w:cs="Arial" w:eastAsia="Arial" w:hAnsi="Arial"/>
                <w:sz w:val="18"/>
                <w:szCs w:val="18"/>
                <w:color w:val="auto"/>
              </w:rPr>
              <w:t>4,670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(4,283)</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Primarily represents amounts returned.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Based on our evaluation under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w:t>
      </w:r>
      <w:r>
        <w:rPr>
          <w:rFonts w:ascii="Arial" w:cs="Arial" w:eastAsia="Arial" w:hAnsi="Arial"/>
          <w:sz w:val="16"/>
          <w:szCs w:val="16"/>
          <w:color w:val="auto"/>
        </w:rPr>
        <w:t>, our management concluded that our internal control over financial reporting was effective as of December 31, 2008.</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2008 has been audited by an independent registered public accounting firm, as stated in their report, which is included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Company’s Board of Directors is currently comprised of nine Directors. Our Amended and Restated Certificate of Incorporation divides the Board of Directors into three classes: Class I, Class II and Class III, with members of each class serving staggered three-year terms. One class of Directors is elected by the stockholders at each Annual Meeting to serve a three-year term or until their successors are duly elected and qualified.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names of the directors, their ages as of February 15, 2009 and certain other information about them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Director</w:t>
            </w:r>
          </w:p>
        </w:tc>
      </w:tr>
      <w:tr>
        <w:trPr>
          <w:trHeight w:val="16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 of Director</w:t>
            </w:r>
          </w:p>
        </w:tc>
        <w:tc>
          <w:tcPr>
            <w:tcW w:w="280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Principal Occupation</w:t>
            </w:r>
          </w:p>
        </w:tc>
        <w:tc>
          <w:tcPr>
            <w:tcW w:w="280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Since</w:t>
            </w:r>
          </w:p>
        </w:tc>
      </w:tr>
      <w:tr>
        <w:trPr>
          <w:trHeight w:val="201"/>
        </w:trPr>
        <w:tc>
          <w:tcPr>
            <w:tcW w:w="10920" w:type="dxa"/>
            <w:vAlign w:val="bottom"/>
            <w:gridSpan w:val="7"/>
          </w:tcPr>
          <w:p>
            <w:pPr>
              <w:spacing w:after="0" w:line="201" w:lineRule="exact"/>
              <w:rPr>
                <w:sz w:val="20"/>
                <w:szCs w:val="20"/>
                <w:color w:val="auto"/>
              </w:rPr>
            </w:pPr>
            <w:r>
              <w:rPr>
                <w:rFonts w:ascii="Arial" w:cs="Arial" w:eastAsia="Arial" w:hAnsi="Arial"/>
                <w:sz w:val="18"/>
                <w:szCs w:val="18"/>
                <w:b w:val="1"/>
                <w:bCs w:val="1"/>
                <w:color w:val="auto"/>
              </w:rPr>
              <w:t>Class I Directors with term expiring at the 2010 Annual Meeting:</w:t>
            </w:r>
          </w:p>
        </w:tc>
        <w:tc>
          <w:tcPr>
            <w:tcW w:w="500" w:type="dxa"/>
            <w:vAlign w:val="bottom"/>
          </w:tcPr>
          <w:p>
            <w:pPr>
              <w:spacing w:after="0"/>
              <w:rPr>
                <w:sz w:val="17"/>
                <w:szCs w:val="17"/>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Alan J. Levy, Ph.D.</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71</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Venture Partner, Frazier Healthcare Ventures</w:t>
            </w: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Eric H. Halvorson</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59</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w w:val="97"/>
              </w:rPr>
              <w:t>Former President and Chief Operating Officer, Salem Communications Corporation</w:t>
            </w:r>
          </w:p>
        </w:tc>
        <w:tc>
          <w:tcPr>
            <w:tcW w:w="50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D. Keith Grossman</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48</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Former Chief Executive Officer and President of Thoratec Corporation</w:t>
            </w:r>
          </w:p>
        </w:tc>
        <w:tc>
          <w:tcPr>
            <w:tcW w:w="50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318"/>
        </w:trPr>
        <w:tc>
          <w:tcPr>
            <w:tcW w:w="10920" w:type="dxa"/>
            <w:vAlign w:val="bottom"/>
            <w:gridSpan w:val="7"/>
          </w:tcPr>
          <w:p>
            <w:pPr>
              <w:spacing w:after="0"/>
              <w:rPr>
                <w:sz w:val="20"/>
                <w:szCs w:val="20"/>
                <w:color w:val="auto"/>
              </w:rPr>
            </w:pPr>
            <w:r>
              <w:rPr>
                <w:rFonts w:ascii="Arial" w:cs="Arial" w:eastAsia="Arial" w:hAnsi="Arial"/>
                <w:sz w:val="18"/>
                <w:szCs w:val="18"/>
                <w:b w:val="1"/>
                <w:bCs w:val="1"/>
                <w:color w:val="auto"/>
              </w:rPr>
              <w:t>Class II Directors with term expiring at the 2011 Annual Meeting:</w:t>
            </w:r>
          </w:p>
        </w:tc>
        <w:tc>
          <w:tcPr>
            <w:tcW w:w="500" w:type="dxa"/>
            <w:vAlign w:val="bottom"/>
          </w:tcPr>
          <w:p>
            <w:pPr>
              <w:spacing w:after="0"/>
              <w:rPr>
                <w:sz w:val="24"/>
                <w:szCs w:val="24"/>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Robert W. Duggan</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64</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CEO and Chairman of the Board of Directors, Pharmacyclics</w:t>
            </w:r>
          </w:p>
        </w:tc>
        <w:tc>
          <w:tcPr>
            <w:tcW w:w="50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Floyd D. Loop, M.D.</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72</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Former Chief Executive Officer (1989-2004), The Cleveland Clinic</w:t>
            </w:r>
          </w:p>
        </w:tc>
        <w:tc>
          <w:tcPr>
            <w:tcW w:w="50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George Stalk Jr.</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58</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Senior Advisor, Boston Consulting Group</w:t>
            </w:r>
          </w:p>
        </w:tc>
        <w:tc>
          <w:tcPr>
            <w:tcW w:w="50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318"/>
        </w:trPr>
        <w:tc>
          <w:tcPr>
            <w:tcW w:w="10920" w:type="dxa"/>
            <w:vAlign w:val="bottom"/>
            <w:gridSpan w:val="7"/>
          </w:tcPr>
          <w:p>
            <w:pPr>
              <w:spacing w:after="0"/>
              <w:rPr>
                <w:sz w:val="20"/>
                <w:szCs w:val="20"/>
                <w:color w:val="auto"/>
              </w:rPr>
            </w:pPr>
            <w:r>
              <w:rPr>
                <w:rFonts w:ascii="Arial" w:cs="Arial" w:eastAsia="Arial" w:hAnsi="Arial"/>
                <w:sz w:val="18"/>
                <w:szCs w:val="18"/>
                <w:b w:val="1"/>
                <w:bCs w:val="1"/>
                <w:color w:val="auto"/>
              </w:rPr>
              <w:t>Class III Directors with term expiring at the 2009 Annual Meeting:</w:t>
            </w:r>
          </w:p>
        </w:tc>
        <w:tc>
          <w:tcPr>
            <w:tcW w:w="500" w:type="dxa"/>
            <w:vAlign w:val="bottom"/>
          </w:tcPr>
          <w:p>
            <w:pPr>
              <w:spacing w:after="0"/>
              <w:rPr>
                <w:sz w:val="24"/>
                <w:szCs w:val="24"/>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Richard J. Kramer</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66</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President, R.J. Kramer Associates, LLC</w:t>
            </w: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Mark J. Rubash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Shutterfly, Inc.</w:t>
            </w:r>
          </w:p>
        </w:tc>
        <w:tc>
          <w:tcPr>
            <w:tcW w:w="50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Lonnie M. Smith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64</w:t>
            </w: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 and Chairman of the Board, Intuitive Surgical, Inc.</w:t>
            </w:r>
          </w:p>
        </w:tc>
        <w:tc>
          <w:tcPr>
            <w:tcW w:w="500" w:type="dxa"/>
            <w:vAlign w:val="bottom"/>
          </w:tcPr>
          <w:p>
            <w:pPr>
              <w:jc w:val="right"/>
              <w:spacing w:after="0"/>
              <w:rPr>
                <w:sz w:val="20"/>
                <w:szCs w:val="20"/>
                <w:color w:val="auto"/>
              </w:rPr>
            </w:pPr>
            <w:r>
              <w:rPr>
                <w:rFonts w:ascii="Arial" w:cs="Arial" w:eastAsia="Arial" w:hAnsi="Arial"/>
                <w:sz w:val="18"/>
                <w:szCs w:val="18"/>
                <w:color w:val="auto"/>
              </w:rPr>
              <w:t>1997</w:t>
            </w:r>
          </w:p>
        </w:tc>
      </w:tr>
    </w:tbl>
    <w:p>
      <w:pPr>
        <w:spacing w:after="0" w:line="15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principal occupations and positions for at least the past five years of our directors are described below. There are no family relationships among any of our directors or executive officers.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Alan J. Levy, Ph.D. </w:t>
      </w:r>
      <w:r>
        <w:rPr>
          <w:rFonts w:ascii="Arial" w:cs="Arial" w:eastAsia="Arial" w:hAnsi="Arial"/>
          <w:sz w:val="16"/>
          <w:szCs w:val="16"/>
          <w:color w:val="auto"/>
        </w:rPr>
        <w:t>is a Venture Partner at Frazier Healthcare Ventures since 2007. He serves as chairman of the Board of Directors of Northstar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Neuroscience, Inc., a medical device company he co-founded, in 1999. From 1993 to 1998, Dr. Levy served as President and Chief Executive Officer of Heartstream, Inc., a medical device company that was acquired by Hewlett-Packard in 1998. Prior to joining Heartstream, he was President of Heart Technology</w:t>
      </w:r>
      <w:r>
        <w:rPr>
          <w:rFonts w:ascii="Arial" w:cs="Arial" w:eastAsia="Arial" w:hAnsi="Arial"/>
          <w:sz w:val="16"/>
          <w:szCs w:val="16"/>
          <w:i w:val="1"/>
          <w:iCs w:val="1"/>
          <w:color w:val="auto"/>
        </w:rPr>
        <w:t>,</w:t>
      </w:r>
      <w:r>
        <w:rPr>
          <w:rFonts w:ascii="Arial" w:cs="Arial" w:eastAsia="Arial" w:hAnsi="Arial"/>
          <w:sz w:val="16"/>
          <w:szCs w:val="16"/>
          <w:color w:val="auto"/>
        </w:rPr>
        <w:t xml:space="preserve"> Inc., a medical device company that was acquired by Boston Scientific in 1995. Before joining Heart Technology, Dr. Levy was Vice President of Research and New Business Development and a member of the board of Ethicon, a division of Johnson &amp; Johnson. Dr. Levy holds a B.S. in Chemistry from City University of New York and a Ph.D. in Organic Chemistry from Purdue University. Dr. Levy serves as a director of several public and private companies.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Eric H. Halvorson </w:t>
      </w:r>
      <w:r>
        <w:rPr>
          <w:rFonts w:ascii="Arial" w:cs="Arial" w:eastAsia="Arial" w:hAnsi="Arial"/>
          <w:sz w:val="18"/>
          <w:szCs w:val="18"/>
          <w:color w:val="auto"/>
        </w:rPr>
        <w:t>has been a member of our Board of Directors since our acquisition of Computer Motion in June 2003. Mr. Halvorson joined Computer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Motion in July 2002 as a member of its Board of Directors. Mr. Halvorson was President and Chief Operating Officer of Salem Communications Corporation from 2007-2008. He was Executive Vice President and Chief Operating Officer of Salem Communications Corporation from 1995 to 2000. Prior to becoming Chief Operating Officer, he was the company’s Vice President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General Counsel for 10 years. Mr. Halvorson resigned from the Board of Directors of Salem Communications Corporation in November of 2008. From 2000-2003 and 2005-2007, he was a Visiting Professor of Business Law and Accounting and Executive in Residence at Pepperdine University and the Pepperdine Law School. From June 2003 to February 2005, Mr. Halvorson served as President and Chief Executive Officer of The Thomas Kinkade Company. Mr. Halvorson was a partner at Godfrey and Kahn, a law firm based in Milwaukee, Wisconsin from 1976 until 1985. Mr. Halvorson is a Certified Public Accountant and holds a B.S. in Accounting from Bob Jones University and a J.D. from Duke University School of Law.</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D. Keith Grossman </w:t>
      </w:r>
      <w:r>
        <w:rPr>
          <w:rFonts w:ascii="Arial" w:cs="Arial" w:eastAsia="Arial" w:hAnsi="Arial"/>
          <w:sz w:val="16"/>
          <w:szCs w:val="16"/>
          <w:color w:val="auto"/>
        </w:rPr>
        <w:t>is currently a Managing Director with the venture capital arm of the private equity firm TPG (Texas Pacific Group), and has spent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in the medical devices and supplies fields. Mr. Grossman served as President and Chief Executive Officer of Thoratec Corp., (THOR) a public medical technology company, from January 1996 to January 2006. Prior to Thoratec, Mr. Grossman held general management and sales and marketing executive positions with Major Pharmaceuticals, Inc., the Calcitek division of Sulzermedica (formerly Intermedics, Inc.), and the McGaw Laboratories Division of American Hospital Supply Corporation. Mr. Grossman remains a member of the Board of Directors of Thoratec, and currently sits on the Boards of Sleep Solutions, Inc., and Vibrynt, Inc. He is a past member of the Board of Directors of Kyphon, Inc. (KYPH) and Acorn Cardiovascular, Inc. Mr. Grossman earned his Bachelor’s Degree from Ohio State University, and his Master’s of Business Administration degree from Pepperdine University.</w:t>
      </w:r>
    </w:p>
    <w:p>
      <w:pPr>
        <w:spacing w:after="0" w:line="118" w:lineRule="exact"/>
        <w:rPr>
          <w:sz w:val="20"/>
          <w:szCs w:val="20"/>
          <w:color w:val="auto"/>
        </w:rPr>
      </w:pPr>
    </w:p>
    <w:p>
      <w:pPr>
        <w:ind w:right="5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Robert W. Duggan </w:t>
      </w:r>
      <w:r>
        <w:rPr>
          <w:rFonts w:ascii="Arial" w:cs="Arial" w:eastAsia="Arial" w:hAnsi="Arial"/>
          <w:sz w:val="16"/>
          <w:szCs w:val="16"/>
          <w:color w:val="auto"/>
        </w:rPr>
        <w:t>has been a member of our Board of Directors since our acquisition of Computer Motion in June 2003. Prior to our acquisition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Computer Motion, Mr. Duggan had been Chairman of the Board of Directors of Computer Motion since 1990 and Chief Executive Officer since 1997.</w:t>
      </w:r>
    </w:p>
    <w:p>
      <w:pPr>
        <w:ind w:right="40"/>
        <w:spacing w:after="0" w:line="288" w:lineRule="auto"/>
        <w:rPr>
          <w:sz w:val="20"/>
          <w:szCs w:val="20"/>
          <w:color w:val="auto"/>
        </w:rPr>
      </w:pPr>
      <w:r>
        <w:rPr>
          <w:rFonts w:ascii="Arial" w:cs="Arial" w:eastAsia="Arial" w:hAnsi="Arial"/>
          <w:sz w:val="16"/>
          <w:szCs w:val="16"/>
          <w:color w:val="auto"/>
        </w:rPr>
        <w:t>Mr. Duggan is currently the CEO and Chairman of the Board of Directors of Pharmacyclics, a pharmaceutical company that focuses on the treatment of cancer and immune-mediated diseases. Mr. Duggan has been a member of the Board of Directors at Pharmacyclics since September 2007. Mr. Duggan is the Founder of the investment firm Robert W. Duggan &amp; Associates. Mr. Duggan has been a private venture investor for more than 30 years and has participated as a director of, investor in and advisor to numerous small and large businesses in the medical equipment, computer local and wide area network, PC hardware and software distribution, digital encryption, consumer retail goods and outdoor media communication industries. Mr. Duggan has also assisted in corporate planning, capital formation and management for his various investments. He received the Congressman’s Medal of Merit and in 2000 he was named a Knight of the Legion of Honor by President Jacques Chirac. He is a member of the University of California at Santa Barbara Foundation Board of Trustees.</w:t>
      </w:r>
    </w:p>
    <w:p>
      <w:pPr>
        <w:spacing w:after="0" w:line="123"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Dr. Floyd D. Loop </w:t>
      </w:r>
      <w:r>
        <w:rPr>
          <w:rFonts w:ascii="Arial" w:cs="Arial" w:eastAsia="Arial" w:hAnsi="Arial"/>
          <w:sz w:val="16"/>
          <w:szCs w:val="16"/>
          <w:color w:val="auto"/>
        </w:rPr>
        <w:t>is currently retired. Until his retirement in 2004, Dr. Loop served the Cleveland Clinic Foundation for 35 years, holding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including Chairman of the Department of Thoracic and Cardiovascular Surgery, Chief Executive Officer and Chairman of the Board of Governors (1989-2004). Dr. Loop and his colleagues at the Cleveland Clinic were responsible for developing the use of arterial conduits in coronary artery surgery, for innovations in valve repair and for pioneering technical improvements for re-operations. Dr. Loop has served as the President of the American Association for Thoracic Surgery, as a Director of the American Board of Thoracic Surgery, and as a member of the Medicare Payment Advisory Commission. He has received Honorary Doctor of Science degrees from Cleveland State University, St. Louis University and Purdue University. Dr. Loop is an internationally recognized cardiovascular surgeon, a recipient of the American Heart Association Citation for International Service, and the American College of Cardiology Cummings Humanitarian Award. Dr. Loop received his undergraduate degree from Purdue University and his M.D. from The George Washington University, Washington, D.C. His postgraduate training was at George Washington, the U.S. Air Force at Andrews Air Force Base and at the Cleveland Clinic Foundation. Dr. Loop currently serves on the public boards of Tenet Healthcare Corporation, Valve Xchange, Inc. and Athersys, Inc., and other private corporate boards.</w:t>
      </w:r>
    </w:p>
    <w:p>
      <w:pPr>
        <w:spacing w:after="0" w:line="12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George J. Stalk </w:t>
      </w:r>
      <w:r>
        <w:rPr>
          <w:rFonts w:ascii="Arial" w:cs="Arial" w:eastAsia="Arial" w:hAnsi="Arial"/>
          <w:sz w:val="18"/>
          <w:szCs w:val="18"/>
          <w:color w:val="auto"/>
        </w:rPr>
        <w:t>is currently a Senior Advisor at The Boston Consulting Group (BCG) in the Toronto Office. Prior to that, until December 2008, Mr. Stalk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a Senior Partner at BCG. Mr. Stalk started with BCG in Boston in 1978 and has been with the firm’s Tokyo and Chicago offices as well. Mr. Stalk received a BS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Engineering Mechanics from the University of Michigan, MS in Aeronautics and Astronautics from Massachusetts Institute of Technology and MBA from Harvard Business School. Mr. Stalk has led BCG’s worldwide innovation efforts and co-authored several best-selling books on business strategy including </w:t>
      </w:r>
      <w:r>
        <w:rPr>
          <w:rFonts w:ascii="Arial" w:cs="Arial" w:eastAsia="Arial" w:hAnsi="Arial"/>
          <w:sz w:val="18"/>
          <w:szCs w:val="18"/>
          <w:i w:val="1"/>
          <w:iCs w:val="1"/>
          <w:color w:val="auto"/>
        </w:rPr>
        <w:t xml:space="preserve">Kaisha: the Japanese Corporation, Competing Against Time, Hardball: Are You Playing to Play or Playing to Win? </w:t>
      </w:r>
      <w:r>
        <w:rPr>
          <w:rFonts w:ascii="Arial" w:cs="Arial" w:eastAsia="Arial" w:hAnsi="Arial"/>
          <w:sz w:val="18"/>
          <w:szCs w:val="18"/>
          <w:color w:val="auto"/>
        </w:rPr>
        <w:t>and</w:t>
      </w:r>
      <w:r>
        <w:rPr>
          <w:rFonts w:ascii="Arial" w:cs="Arial" w:eastAsia="Arial" w:hAnsi="Arial"/>
          <w:sz w:val="18"/>
          <w:szCs w:val="18"/>
          <w:i w:val="1"/>
          <w:iCs w:val="1"/>
          <w:color w:val="auto"/>
        </w:rPr>
        <w:t xml:space="preserve"> Five Future Strategies You Need Right Now</w:t>
      </w:r>
      <w:r>
        <w:rPr>
          <w:rFonts w:ascii="Arial" w:cs="Arial" w:eastAsia="Arial" w:hAnsi="Arial"/>
          <w:sz w:val="18"/>
          <w:szCs w:val="18"/>
          <w:color w:val="auto"/>
        </w:rPr>
        <w:t>.</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Richard J. Kramer </w:t>
      </w:r>
      <w:r>
        <w:rPr>
          <w:rFonts w:ascii="Arial" w:cs="Arial" w:eastAsia="Arial" w:hAnsi="Arial"/>
          <w:sz w:val="16"/>
          <w:szCs w:val="16"/>
          <w:color w:val="auto"/>
        </w:rPr>
        <w:t>is President of R.J. Kramer Associates, LLC, a healthcare consulting firm he founded in January 2001. From 1989 to 2000, he was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Executive Officer of Catholic Healthcare West, which operates 48 hospitals in the western United States. From 1982 to 1989, Mr. Kramer was Executive Vice President of Allina Hospitals and Clinics, the largest health care system in Minnesota. Mr. Kramer received a B.S. in Rehabilitation Education from Pennsylvania State University, a M.S. in Rehabilitation Counseling from Syracuse University, a M.S. in Hospital and Health Care Administration from the University of Minnesota and is an Advanced Management Program (AMP) graduate of Harvard Business School. Mr. Kramer currently serves on the board of Sutter Health and the Boys and Girls Club of Auburn.</w:t>
      </w:r>
    </w:p>
    <w:p>
      <w:pPr>
        <w:spacing w:after="0" w:line="12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Mark J. Rubash </w:t>
      </w:r>
      <w:r>
        <w:rPr>
          <w:rFonts w:ascii="Arial" w:cs="Arial" w:eastAsia="Arial" w:hAnsi="Arial"/>
          <w:sz w:val="16"/>
          <w:szCs w:val="16"/>
          <w:color w:val="auto"/>
        </w:rPr>
        <w:t>joined our board in October 2007. Mr. Rubash is the Chief Financial Officer at Shutterfly, Inc. Prior to joining Shutterfly in November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Mr. Rubash was the Chief Financial Officer of Rearden Commerce from August 2007 to November 2007 and previous to that, Mr. Rubash was a Senior Vice President at Yahoo! Inc. from February 2007 to July 2007. Prior to joining Yahoo!, Mr. Rubash held various senior positions at eBay Inc from February 2001 to July 2005. From January 2000 to November 2000, Mr. Rubash was the Chief Financial Officer at Critical Path, Inc. From October 1987 to January 2000,</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Rubash was an audit partner at PriceWaterhouseCoopers, where he was most recently the Global Leader for their Internet Industry Practice and Practice Leader for their Silicon Valley Software Industry Practice. Mr. Rubash received his BS in Accounting from California State University Sacramento. Mr. Rubash is currently a member of the Board of Directors and Chairman of the Audit Committee of Line 6 Corporation, a privately-held music products manufacturer located in Calabasas, CA.</w:t>
      </w:r>
    </w:p>
    <w:p>
      <w:pPr>
        <w:spacing w:after="0" w:line="144"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Lonnie M. Smith </w:t>
      </w:r>
      <w:r>
        <w:rPr>
          <w:rFonts w:ascii="Arial" w:cs="Arial" w:eastAsia="Arial" w:hAnsi="Arial"/>
          <w:sz w:val="15"/>
          <w:szCs w:val="15"/>
          <w:color w:val="auto"/>
        </w:rPr>
        <w:t>joined Intuitive in June 1997 from Hillenbrand Industries, where he was Senior Executive Vice President. Mr. Smith joined Hillenbrand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1978 and during his tenure he was also a member of the Executive Committee, the Office of the President and the Board of Directors. Mr. Smith has also held positions with The Boston Consulting Group and IBM. Mr. Smith received his BSEE from Utah State University and an MBA from Harvard Business School.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Our board of directors has established an audit committee, a compensation committee and a governance and nominating. Our board of directors and its committees set schedules to meet throughout the year and also can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committee of our board of directors has a written charter approved by our board of directors which is available on our website at </w:t>
      </w:r>
      <w:r>
        <w:rPr>
          <w:rFonts w:ascii="Arial" w:cs="Arial" w:eastAsia="Arial" w:hAnsi="Arial"/>
          <w:sz w:val="18"/>
          <w:szCs w:val="18"/>
          <w:i w:val="1"/>
          <w:iCs w:val="1"/>
          <w:color w:val="auto"/>
        </w:rPr>
        <w:t>www.intuitivesurgical.com</w:t>
      </w:r>
      <w:r>
        <w:rPr>
          <w:rFonts w:ascii="Arial" w:cs="Arial" w:eastAsia="Arial" w:hAnsi="Arial"/>
          <w:sz w:val="18"/>
          <w:szCs w:val="18"/>
          <w:color w:val="auto"/>
        </w:rPr>
        <w:t>.</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During 2008, our Board of Directors held five meetings and each director attended all of those meetings. Members of the Board and its committees also consulted informally with management from time to time and acted at various times by written consent without a meeting during fiscal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current membership of each Board committee: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Committee Membership</w:t>
            </w:r>
          </w:p>
        </w:tc>
      </w:tr>
      <w:tr>
        <w:trPr>
          <w:trHeight w:val="130"/>
        </w:trPr>
        <w:tc>
          <w:tcPr>
            <w:tcW w:w="38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6"/>
              </w:rPr>
              <w:t>Goverance and</w:t>
            </w:r>
          </w:p>
        </w:tc>
        <w:tc>
          <w:tcPr>
            <w:tcW w:w="2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4"/>
              </w:rPr>
              <w:t>Compensation</w:t>
            </w:r>
          </w:p>
        </w:tc>
      </w:tr>
      <w:tr>
        <w:trPr>
          <w:trHeight w:val="175"/>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Audit</w:t>
            </w:r>
          </w:p>
        </w:tc>
        <w:tc>
          <w:tcPr>
            <w:tcW w:w="2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Committee</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Alan</w:t>
            </w:r>
          </w:p>
        </w:tc>
        <w:tc>
          <w:tcPr>
            <w:tcW w:w="7740" w:type="dxa"/>
            <w:vAlign w:val="bottom"/>
          </w:tcPr>
          <w:p>
            <w:pPr>
              <w:ind w:left="20"/>
              <w:spacing w:after="0" w:line="201" w:lineRule="exact"/>
              <w:rPr>
                <w:sz w:val="20"/>
                <w:szCs w:val="20"/>
                <w:color w:val="auto"/>
              </w:rPr>
            </w:pPr>
            <w:r>
              <w:rPr>
                <w:rFonts w:ascii="Arial" w:cs="Arial" w:eastAsia="Arial" w:hAnsi="Arial"/>
                <w:sz w:val="18"/>
                <w:szCs w:val="18"/>
                <w:color w:val="auto"/>
              </w:rPr>
              <w:t>J. Levy, Ph.D.</w:t>
            </w:r>
          </w:p>
        </w:tc>
        <w:tc>
          <w:tcPr>
            <w:tcW w:w="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Chair</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ü</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Eric H. Halvorson</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ü</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D. Keith Grossman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Chair</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Floyd D. Loop, M.D.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George Stalk Jr.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Richard J. Kramer</w:t>
            </w: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Mark J. Rubash</w:t>
            </w: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Audit Committee assists the full Board of Directors in its general oversight of our financial reporting, internal controls, and audit functions, and is directly responsible for the appointment, compensation and oversight of the work of our independent registered public accounting firm. The Audit Committee reviews and discusses with management and our independent accountants the annual audited and quarterly financial statements (including the disclosures under “Management’s Discussion and Analysis of Financial Condition and Results of Operations”), reviews the integrity of the financial reporting processes, both internal and external, reviews the qualifications, performance and independence of our independent accountants, and prepares the Audit Committee Report included in this Annual Report on Form 10-K in accordance with rules and regulations of the Securities and Exchange Commission.</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of the Audit Committee members meet the existing independence and experience requirements of the Nasdaq Global Select Market and the Securities and Exchange Commission. In 2008, the Audit Committee met eight times and each then-current member of the Audit Committee, except one, attended all of those meetings. Mr. Grossman did not attend one meeting held during the period when he was still a member of the committee. The Board of Directors has determined that Mr. Rubash is an “Audit Committee Financial Expert”, as defined in Item 407(d)(5)(iii) of Regulation S-K. The Audit Committee has engaged Ernst &amp; Young LLP as our independent accountants for fiscal year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Governance and Nominating Committee is responsible for matters relating to the corporate governance of our company and the nomination of members of the board and committees thereof. All of the Governance and Nominating Committee members meet the existing independence and experience requirements of the Nasdaq Global Select Market and the Securities and Exchange Commission. The Governance and Nominating Committee met three times during the fiscal year ended December 31, 2008 and all members of the committee attended all of those meetings.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Compensation Committee establishes our executive compensation policy, determines the salary and bonuses of our executive officers, approves corporate goals and recommends to the Board of Directors stock option grants for our executive officers. The Compensation Committee reviews and discusses with management the disclosure regarding executive compensation to be included in our annual proxy statement, and recommends to the Board inclusion of the Compensation Discussion and Analysis (“CD&amp;A”) in our Annual Report on Form 10-K.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All of the Compensation Committee members meet the existing independence and experience requirements of the Nasdaq Global Select Market and the Securities and Exchange Commission. In 2008, the Compensation Committee met five times and all members of the Compensation Committee attended all of those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the Annual Meeting</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shareholders. All members of the board of directors attended our 2008 Annual Meeting of Shareholders.</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24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Director Compensation Table (DCT) sets forth summary information concerning the compensation paid to our non-employee directors in 2008 for services to our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Fees earned</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or paid in</w:t>
            </w:r>
          </w:p>
        </w:tc>
        <w:tc>
          <w:tcPr>
            <w:tcW w:w="13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40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cash ($)</w:t>
            </w:r>
          </w:p>
        </w:tc>
        <w:tc>
          <w:tcPr>
            <w:tcW w:w="340" w:type="dxa"/>
            <w:vAlign w:val="bottom"/>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5"/>
              </w:rPr>
              <w:t>Awards ($) (8)</w:t>
            </w:r>
          </w:p>
        </w:tc>
        <w:tc>
          <w:tcPr>
            <w:tcW w:w="320" w:type="dxa"/>
            <w:vAlign w:val="bottom"/>
          </w:tcPr>
          <w:p>
            <w:pPr>
              <w:spacing w:after="0"/>
              <w:rPr>
                <w:sz w:val="14"/>
                <w:szCs w:val="14"/>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Keith Grossman (1)</w:t>
            </w:r>
          </w:p>
        </w:tc>
        <w:tc>
          <w:tcPr>
            <w:tcW w:w="5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48,750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Alan J. Levy (2)</w:t>
            </w:r>
          </w:p>
        </w:tc>
        <w:tc>
          <w:tcPr>
            <w:tcW w:w="5180" w:type="dxa"/>
            <w:vAlign w:val="bottom"/>
            <w:gridSpan w:val="3"/>
          </w:tcPr>
          <w:p>
            <w:pPr>
              <w:jc w:val="right"/>
              <w:ind w:right="340"/>
              <w:spacing w:after="0"/>
              <w:rPr>
                <w:sz w:val="20"/>
                <w:szCs w:val="20"/>
                <w:color w:val="auto"/>
              </w:rPr>
            </w:pPr>
            <w:r>
              <w:rPr>
                <w:rFonts w:ascii="Arial" w:cs="Arial" w:eastAsia="Arial" w:hAnsi="Arial"/>
                <w:sz w:val="18"/>
                <w:szCs w:val="18"/>
                <w:color w:val="auto"/>
              </w:rPr>
              <w:t>51,750</w:t>
            </w:r>
          </w:p>
        </w:tc>
        <w:tc>
          <w:tcPr>
            <w:tcW w:w="1000" w:type="dxa"/>
            <w:vAlign w:val="bottom"/>
          </w:tcPr>
          <w:p>
            <w:pPr>
              <w:jc w:val="right"/>
              <w:spacing w:after="0"/>
              <w:rPr>
                <w:sz w:val="20"/>
                <w:szCs w:val="20"/>
                <w:color w:val="auto"/>
              </w:rPr>
            </w:pPr>
            <w:r>
              <w:rPr>
                <w:rFonts w:ascii="Arial" w:cs="Arial" w:eastAsia="Arial" w:hAnsi="Arial"/>
                <w:sz w:val="18"/>
                <w:szCs w:val="18"/>
                <w:color w:val="auto"/>
              </w:rPr>
              <w:t>507,654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W. Duggan (3)</w:t>
            </w:r>
          </w:p>
        </w:tc>
        <w:tc>
          <w:tcPr>
            <w:tcW w:w="5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34,250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Eric H. Halvorson (4)</w:t>
            </w:r>
          </w:p>
        </w:tc>
        <w:tc>
          <w:tcPr>
            <w:tcW w:w="5180" w:type="dxa"/>
            <w:vAlign w:val="bottom"/>
            <w:gridSpan w:val="3"/>
          </w:tcPr>
          <w:p>
            <w:pPr>
              <w:jc w:val="right"/>
              <w:ind w:right="340"/>
              <w:spacing w:after="0"/>
              <w:rPr>
                <w:sz w:val="20"/>
                <w:szCs w:val="20"/>
                <w:color w:val="auto"/>
              </w:rPr>
            </w:pPr>
            <w:r>
              <w:rPr>
                <w:rFonts w:ascii="Arial" w:cs="Arial" w:eastAsia="Arial" w:hAnsi="Arial"/>
                <w:sz w:val="18"/>
                <w:szCs w:val="18"/>
                <w:color w:val="auto"/>
              </w:rPr>
              <w:t>44,750</w:t>
            </w:r>
          </w:p>
        </w:tc>
        <w:tc>
          <w:tcPr>
            <w:tcW w:w="1000" w:type="dxa"/>
            <w:vAlign w:val="bottom"/>
          </w:tcPr>
          <w:p>
            <w:pPr>
              <w:jc w:val="right"/>
              <w:spacing w:after="0"/>
              <w:rPr>
                <w:sz w:val="20"/>
                <w:szCs w:val="20"/>
                <w:color w:val="auto"/>
              </w:rPr>
            </w:pPr>
            <w:r>
              <w:rPr>
                <w:rFonts w:ascii="Arial" w:cs="Arial" w:eastAsia="Arial" w:hAnsi="Arial"/>
                <w:sz w:val="18"/>
                <w:szCs w:val="18"/>
                <w:color w:val="auto"/>
              </w:rPr>
              <w:t>507,654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J. Kramer (5)</w:t>
            </w:r>
          </w:p>
        </w:tc>
        <w:tc>
          <w:tcPr>
            <w:tcW w:w="5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47,750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507,654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Floyd D. Loop (6)</w:t>
            </w:r>
          </w:p>
        </w:tc>
        <w:tc>
          <w:tcPr>
            <w:tcW w:w="5180" w:type="dxa"/>
            <w:vAlign w:val="bottom"/>
            <w:gridSpan w:val="3"/>
          </w:tcPr>
          <w:p>
            <w:pPr>
              <w:jc w:val="right"/>
              <w:ind w:right="340"/>
              <w:spacing w:after="0"/>
              <w:rPr>
                <w:sz w:val="20"/>
                <w:szCs w:val="20"/>
                <w:color w:val="auto"/>
              </w:rPr>
            </w:pPr>
            <w:r>
              <w:rPr>
                <w:rFonts w:ascii="Arial" w:cs="Arial" w:eastAsia="Arial" w:hAnsi="Arial"/>
                <w:sz w:val="18"/>
                <w:szCs w:val="18"/>
                <w:color w:val="auto"/>
              </w:rPr>
              <w:t>37,250</w:t>
            </w:r>
          </w:p>
        </w:tc>
        <w:tc>
          <w:tcPr>
            <w:tcW w:w="1000" w:type="dxa"/>
            <w:vAlign w:val="bottom"/>
          </w:tcPr>
          <w:p>
            <w:pPr>
              <w:jc w:val="right"/>
              <w:spacing w:after="0"/>
              <w:rPr>
                <w:sz w:val="20"/>
                <w:szCs w:val="20"/>
                <w:color w:val="auto"/>
              </w:rPr>
            </w:pPr>
            <w:r>
              <w:rPr>
                <w:rFonts w:ascii="Arial" w:cs="Arial" w:eastAsia="Arial" w:hAnsi="Arial"/>
                <w:sz w:val="18"/>
                <w:szCs w:val="18"/>
                <w:color w:val="auto"/>
              </w:rPr>
              <w:t>603,989</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J. Rubash (7)</w:t>
            </w:r>
          </w:p>
        </w:tc>
        <w:tc>
          <w:tcPr>
            <w:tcW w:w="5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44,500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1,042,928</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George Stalk Jr. (7)</w:t>
            </w:r>
          </w:p>
        </w:tc>
        <w:tc>
          <w:tcPr>
            <w:tcW w:w="40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37,250</w:t>
            </w:r>
          </w:p>
        </w:tc>
        <w:tc>
          <w:tcPr>
            <w:tcW w:w="1000" w:type="dxa"/>
            <w:vAlign w:val="bottom"/>
          </w:tcPr>
          <w:p>
            <w:pPr>
              <w:jc w:val="right"/>
              <w:spacing w:after="0"/>
              <w:rPr>
                <w:sz w:val="20"/>
                <w:szCs w:val="20"/>
                <w:color w:val="auto"/>
              </w:rPr>
            </w:pPr>
            <w:r>
              <w:rPr>
                <w:rFonts w:ascii="Arial" w:cs="Arial" w:eastAsia="Arial" w:hAnsi="Arial"/>
                <w:sz w:val="18"/>
                <w:szCs w:val="18"/>
                <w:color w:val="auto"/>
              </w:rPr>
              <w:t>1,042,928</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346,250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5,228,115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5,574,365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12,500 options were outstanding as of 12/31/08, of which 7,500 were exercisable as of 12/31/08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22,500 options were outstanding as of 12/31/08, of which 17,500 were exercisable as of 12/31/08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22,500 options were outstanding as of 12/31/08, of which 17,500 were exercisable as of 12/31/08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8,500 options were outstanding as of 12/31/08, of which 3,500 were exercisable as of 12/31/08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15,000 options were outstanding as of 12/31/08, of which 10,000 were exercisable as of 12/31/08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30,000 options were outstanding as of 12/31/08, of which 25,000 were exercisable as of 12/31/08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20,000 options were outstanding as of 12/31/08, of which 5,832 were exercisable as of 12/31/08</w:t>
      </w:r>
    </w:p>
    <w:p>
      <w:pPr>
        <w:spacing w:after="0" w:line="9" w:lineRule="exact"/>
        <w:rPr>
          <w:rFonts w:ascii="Arial" w:cs="Arial" w:eastAsia="Arial" w:hAnsi="Arial"/>
          <w:sz w:val="18"/>
          <w:szCs w:val="18"/>
          <w:color w:val="auto"/>
        </w:rPr>
      </w:pPr>
    </w:p>
    <w:p>
      <w:pPr>
        <w:ind w:left="460" w:right="120" w:hanging="452"/>
        <w:spacing w:after="0" w:line="290"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amounts in this column represent the dollar amount recognized for financial statement reporting purposes with respect to the fiscal year in accordance with SFAS 123(R). These amounts may reflect options granted in years prior to 2008. Each continuing non-employee director received an option to purchase 5,000 shares of the Company’s common stock, granted on April 21, 2008 with an exercise price of $288.50 per share, based on the NASDAQ close price on the day prior to the grant date, as defined in the Directors’ Plan. The grant date fair value of these options to each member, based on Black-Scholes valuation model, is approximately $621,445. See Note 7 of the notes to our consolidated financial statements contained elsewhere in this Annual Report on Form 10-K for a discussion of all assumptions made by us in determining the SFAS 123(R) values of equity awards.</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reimburses its non-employee directors for all reasonable out-of-pocket expenses incurred in the performance of their duties as directors of the Company. Employee directors are not compensated for Board services in addition to their regular employee compensation.</w:t>
      </w:r>
    </w:p>
    <w:p>
      <w:pPr>
        <w:spacing w:after="0" w:line="85"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i w:val="1"/>
          <w:iCs w:val="1"/>
          <w:color w:val="auto"/>
        </w:rPr>
        <w:t>Annual cash compensation</w:t>
      </w:r>
      <w:r>
        <w:rPr>
          <w:rFonts w:ascii="Arial" w:cs="Arial" w:eastAsia="Arial" w:hAnsi="Arial"/>
          <w:sz w:val="18"/>
          <w:szCs w:val="18"/>
          <w:color w:val="auto"/>
        </w:rPr>
        <w:t>: During fiscal 2008, each non-employee member of the Board of Directors was eligible to receive the following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(1) annual retainer for each member of the Board ($10,000), increased in October 2008 to $25,000; (2) additional retainers for service as a subcommittee chairperson ($10,000); increased in October 2008 to $15,000 for the Audit Committee Chair; (3) meeting fees for attendance at meetings of the Board $5,000; (4) meeting fees for the attendance of committee meetings $1,000; and (5) meeting fees for telephonic attendance of each Board or committee meetings $500.</w:t>
      </w:r>
    </w:p>
    <w:p>
      <w:pPr>
        <w:spacing w:after="0" w:line="143" w:lineRule="exact"/>
        <w:rPr>
          <w:sz w:val="20"/>
          <w:szCs w:val="20"/>
          <w:color w:val="auto"/>
        </w:rPr>
      </w:pPr>
    </w:p>
    <w:p>
      <w:pPr>
        <w:ind w:right="20" w:firstLine="456"/>
        <w:spacing w:after="0" w:line="300" w:lineRule="auto"/>
        <w:rPr>
          <w:sz w:val="20"/>
          <w:szCs w:val="20"/>
          <w:color w:val="auto"/>
        </w:rPr>
      </w:pPr>
      <w:r>
        <w:rPr>
          <w:rFonts w:ascii="Arial" w:cs="Arial" w:eastAsia="Arial" w:hAnsi="Arial"/>
          <w:sz w:val="15"/>
          <w:szCs w:val="15"/>
          <w:i w:val="1"/>
          <w:iCs w:val="1"/>
          <w:color w:val="auto"/>
        </w:rPr>
        <w:t>Equity Compensation</w:t>
      </w:r>
      <w:r>
        <w:rPr>
          <w:rFonts w:ascii="Arial" w:cs="Arial" w:eastAsia="Arial" w:hAnsi="Arial"/>
          <w:sz w:val="15"/>
          <w:szCs w:val="15"/>
          <w:color w:val="auto"/>
        </w:rPr>
        <w:t>: During fiscal 2008, each non-employee member of the Board of Directors was eligible to receive stock awards under the terms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Company’s </w:t>
      </w:r>
      <w:r>
        <w:rPr>
          <w:rFonts w:ascii="Arial" w:cs="Arial" w:eastAsia="Arial" w:hAnsi="Arial"/>
          <w:sz w:val="15"/>
          <w:szCs w:val="15"/>
          <w:i w:val="1"/>
          <w:iCs w:val="1"/>
          <w:color w:val="auto"/>
        </w:rPr>
        <w:t>Directors’ Plan</w:t>
      </w:r>
      <w:r>
        <w:rPr>
          <w:rFonts w:ascii="Arial" w:cs="Arial" w:eastAsia="Arial" w:hAnsi="Arial"/>
          <w:sz w:val="15"/>
          <w:szCs w:val="15"/>
          <w:color w:val="auto"/>
        </w:rPr>
        <w:t>. New members of the Board receive an initial option grant to purchase 15,000 shares, decreased in October 2008 to 10,000 shares,</w:t>
      </w:r>
    </w:p>
    <w:p>
      <w:pPr>
        <w:spacing w:after="0" w:line="1" w:lineRule="exact"/>
        <w:rPr>
          <w:sz w:val="20"/>
          <w:szCs w:val="20"/>
          <w:color w:val="auto"/>
        </w:rPr>
      </w:pPr>
    </w:p>
    <w:p>
      <w:pPr>
        <w:ind w:right="380"/>
        <w:spacing w:after="0" w:line="221" w:lineRule="auto"/>
        <w:rPr>
          <w:sz w:val="20"/>
          <w:szCs w:val="20"/>
          <w:color w:val="auto"/>
        </w:rPr>
      </w:pPr>
      <w:r>
        <w:rPr>
          <w:rFonts w:ascii="Arial" w:cs="Arial" w:eastAsia="Arial" w:hAnsi="Arial"/>
          <w:sz w:val="18"/>
          <w:szCs w:val="18"/>
          <w:color w:val="auto"/>
        </w:rPr>
        <w:t>of the Company’s common stock with one-third of the shares vesting after one year from the date of grant and 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shares vesting monthly thereafter. Continuing non-employee members of the Board of the Directors who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have served at least six months receive an annual option grant of 5,000 shares, decreased in October 2008 to 4,250 shares of common stock, to be granted on the date of the Board meeting held on the Annual Shareholder Meeting date, with one year cliff vesting contingent on continued service on the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officers as of December 31, 2008 and their ages as of February 15, 2009,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7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860" w:type="dxa"/>
            <w:vAlign w:val="bottom"/>
          </w:tcPr>
          <w:p>
            <w:pPr>
              <w:spacing w:after="0"/>
              <w:rPr>
                <w:sz w:val="14"/>
                <w:szCs w:val="14"/>
                <w:color w:val="auto"/>
              </w:rPr>
            </w:pPr>
          </w:p>
        </w:tc>
      </w:tr>
      <w:tr>
        <w:trPr>
          <w:trHeight w:val="201"/>
        </w:trPr>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Lonnie M. Smith</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3300" w:type="dxa"/>
            <w:vAlign w:val="bottom"/>
          </w:tcPr>
          <w:p>
            <w:pPr>
              <w:ind w:left="120"/>
              <w:spacing w:after="0" w:line="201" w:lineRule="exact"/>
              <w:rPr>
                <w:sz w:val="20"/>
                <w:szCs w:val="20"/>
                <w:color w:val="auto"/>
              </w:rPr>
            </w:pPr>
            <w:r>
              <w:rPr>
                <w:rFonts w:ascii="Arial" w:cs="Arial" w:eastAsia="Arial" w:hAnsi="Arial"/>
                <w:sz w:val="18"/>
                <w:szCs w:val="18"/>
                <w:color w:val="auto"/>
                <w:w w:val="89"/>
              </w:rPr>
              <w:t>Chief Executive Officer and Chairman of the</w:t>
            </w:r>
          </w:p>
        </w:tc>
        <w:tc>
          <w:tcPr>
            <w:tcW w:w="480" w:type="dxa"/>
            <w:vAlign w:val="bottom"/>
          </w:tcPr>
          <w:p>
            <w:pPr>
              <w:ind w:left="20"/>
              <w:spacing w:after="0" w:line="201" w:lineRule="exact"/>
              <w:rPr>
                <w:sz w:val="20"/>
                <w:szCs w:val="20"/>
                <w:color w:val="auto"/>
              </w:rPr>
            </w:pPr>
            <w:r>
              <w:rPr>
                <w:rFonts w:ascii="Arial" w:cs="Arial" w:eastAsia="Arial" w:hAnsi="Arial"/>
                <w:sz w:val="18"/>
                <w:szCs w:val="18"/>
                <w:color w:val="auto"/>
                <w:w w:val="91"/>
              </w:rPr>
              <w:t>Board</w:t>
            </w:r>
          </w:p>
        </w:tc>
        <w:tc>
          <w:tcPr>
            <w:tcW w:w="860" w:type="dxa"/>
            <w:vAlign w:val="bottom"/>
          </w:tcPr>
          <w:p>
            <w:pPr>
              <w:ind w:left="20"/>
              <w:spacing w:after="0" w:line="201" w:lineRule="exact"/>
              <w:rPr>
                <w:sz w:val="20"/>
                <w:szCs w:val="20"/>
                <w:color w:val="auto"/>
              </w:rPr>
            </w:pPr>
            <w:r>
              <w:rPr>
                <w:rFonts w:ascii="Arial" w:cs="Arial" w:eastAsia="Arial" w:hAnsi="Arial"/>
                <w:sz w:val="18"/>
                <w:szCs w:val="18"/>
                <w:color w:val="auto"/>
                <w:w w:val="89"/>
              </w:rPr>
              <w:t>of Directors</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Marshall L. Mohr</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Gary S. Guthart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Jerome J. McNamara</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w w:val="97"/>
              </w:rPr>
              <w:t>Executive Vice President, Worldwide Sales and Marketing</w:t>
            </w: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Mark J. Meltzer</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Senior Vice President, General Counsel</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occupations and positions for at least the past five years of the executive officers named above are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Lonnie M. Smith</w:t>
      </w:r>
      <w:r>
        <w:rPr>
          <w:rFonts w:ascii="Arial" w:cs="Arial" w:eastAsia="Arial" w:hAnsi="Arial"/>
          <w:sz w:val="18"/>
          <w:szCs w:val="18"/>
          <w:color w:val="auto"/>
        </w:rPr>
        <w:t>. Please see</w:t>
      </w:r>
      <w:r>
        <w:rPr>
          <w:rFonts w:ascii="Arial" w:cs="Arial" w:eastAsia="Arial" w:hAnsi="Arial"/>
          <w:sz w:val="18"/>
          <w:szCs w:val="18"/>
          <w:b w:val="1"/>
          <w:bCs w:val="1"/>
          <w:i w:val="1"/>
          <w:iCs w:val="1"/>
          <w:color w:val="auto"/>
        </w:rPr>
        <w:t xml:space="preserve"> Directors </w:t>
      </w:r>
      <w:r>
        <w:rPr>
          <w:rFonts w:ascii="Arial" w:cs="Arial" w:eastAsia="Arial" w:hAnsi="Arial"/>
          <w:sz w:val="18"/>
          <w:szCs w:val="18"/>
          <w:color w:val="auto"/>
        </w:rPr>
        <w:t>section above.</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Marshall L. Mohr </w:t>
      </w:r>
      <w:r>
        <w:rPr>
          <w:rFonts w:ascii="Arial" w:cs="Arial" w:eastAsia="Arial" w:hAnsi="Arial"/>
          <w:sz w:val="16"/>
          <w:szCs w:val="16"/>
          <w:color w:val="auto"/>
        </w:rPr>
        <w:t>joined Intuitive Surgical in March 2006. Prior to that, Mr. Mohr was Vice President and Chief Financial Officer of Adaptec, Inc. Prior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joining Adaptec in July 2003, Mr. Mohr was an audit partner with PricewaterhouseCoopers where he was most recently the managing partner of the firm’s west region technology industry group and led its Silicon Valley accounting and audit advisory practice. Mr. Mohr received his BBA in accounting and finance from Western Michigan University. Mr. Mohr serves on the corporate boards of Plantronics, Inc. and Atheros Communications, Inc.</w:t>
      </w:r>
    </w:p>
    <w:p>
      <w:pPr>
        <w:spacing w:after="0" w:line="11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Gary S. Guthart, Ph.D. </w:t>
      </w:r>
      <w:r>
        <w:rPr>
          <w:rFonts w:ascii="Arial" w:cs="Arial" w:eastAsia="Arial" w:hAnsi="Arial"/>
          <w:sz w:val="16"/>
          <w:szCs w:val="16"/>
          <w:color w:val="auto"/>
        </w:rPr>
        <w:t>joined Intuitive Surgical in April 1996. In July 2007, Dr. Guthart was promoted to President. Prior to that, in February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Guthart assumed the role of Chief Operating Officer. Prior to joining Intuitive, Dr. Guthart was part of the core team developing foundation technology for computer enhanced-surgery at SRI International (formally Stanford Research Institute). Dr. Guthart received a BS in Engineering from the University of California, Berkeley and an MS and Ph.D. in Engineering Science from the California Institute of Technology.</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Jerome J. McNamara </w:t>
      </w:r>
      <w:r>
        <w:rPr>
          <w:rFonts w:ascii="Arial" w:cs="Arial" w:eastAsia="Arial" w:hAnsi="Arial"/>
          <w:sz w:val="18"/>
          <w:szCs w:val="18"/>
          <w:color w:val="auto"/>
        </w:rPr>
        <w:t>joined Intuitive Surgical in April 1999. In July 2007, Mr. McNamara was promoted as Executive Vice President, Worldwide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Marketing. Prior to joining Intuitive, Mr. McNamara was the Vice President at Valleylab. Prior to Valleylab, Mr. McNamara worked at United States Surgical Corporation for nearly 17 years where he held positions in senior sales management, marketing and national accounts. Mr. McNamara graduated from the University of Pennsylvania with a BA degree in Biology.</w:t>
      </w:r>
    </w:p>
    <w:p>
      <w:pPr>
        <w:spacing w:after="0" w:line="14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b w:val="1"/>
          <w:bCs w:val="1"/>
          <w:i w:val="1"/>
          <w:iCs w:val="1"/>
          <w:color w:val="auto"/>
        </w:rPr>
        <w:t xml:space="preserve">Mark J. Meltzer </w:t>
      </w:r>
      <w:r>
        <w:rPr>
          <w:rFonts w:ascii="Arial" w:cs="Arial" w:eastAsia="Arial" w:hAnsi="Arial"/>
          <w:sz w:val="16"/>
          <w:szCs w:val="16"/>
          <w:color w:val="auto"/>
        </w:rPr>
        <w:t>joined Intuitive Surgical in October 2007. Prior to joining Intuitive, Mr. Meltzer served as General Counsel of FoxHollow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from October 2004. Prior to FoxHollow, Mr. Meltzer has also served as General Counsel for Epicor Medical Inc. and Ventritex Inc. Mr. Meltzer graduated cum laude from UC Berkeley with a BS degree in electrical engineering. He received his JD from UC Hastings where he served on the law review. Mr. Meltzer, a registered patent attorney, was appointed as a special master in federal court where he assisted in the evaluation and administration of complex patent cases.</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Meltzer has tried cases to juries and has argued before the Ninth Circuit Court of Appeals. His pro bono work has included the representation of indigents and non profits before courts and administrative agencies and volunteer service in federal anti poverty programs.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Section 16(a) of the Securities Exchange Act of 1934, as amended, requires that our executive officers and directors, and persons who own more than 10% of a registered class of our equity securities, file reports of ownership and changes in ownership (Forms 3, 4 and 5) with the Securities and Exchange Commission. Executive officers, directors and greater-than-10% holders are required to furnish us with copies of all of these forms which they file.</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Based solely on our review of these reports or written representations from certain reporting persons, we believe that during 2008, all filing requirements applicable to our officers, directors, greater-than-10% beneficial owners and other persons subject to Section 16(a) of the Exchange Act were met.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We have adopted a code of ethics that applies to all employees including principal executive officer and principal financial officer. The full text of our code of ethics is posted on our website at </w:t>
      </w:r>
      <w:r>
        <w:rPr>
          <w:rFonts w:ascii="Arial" w:cs="Arial" w:eastAsia="Arial" w:hAnsi="Arial"/>
          <w:sz w:val="18"/>
          <w:szCs w:val="18"/>
          <w:i w:val="1"/>
          <w:iCs w:val="1"/>
          <w:color w:val="auto"/>
        </w:rPr>
        <w:t>http://www.intuitivesurgical.com</w:t>
      </w:r>
      <w:r>
        <w:rPr>
          <w:rFonts w:ascii="Arial" w:cs="Arial" w:eastAsia="Arial" w:hAnsi="Arial"/>
          <w:sz w:val="18"/>
          <w:szCs w:val="18"/>
          <w:color w:val="auto"/>
        </w:rPr>
        <w:t>. We intend to disclose future amendments to our codes of business conduct and ethics, or certain waivers of such provisions, at the same location on our Web site identified above. The inclusion of our Web site address in this report does not include or incorporate by reference the information on our Web site into this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 (CD&amp;A)</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compensation arrangements of our named executive officers for 2008 should be read together with the compensation tables and related disclosures set forth below.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compensation discussion and analysis describes the material elements of the compensation of our Chief Executive Officer (CEO), Chief Financial Officer, and three other most highly compensated executive officers, whom we refer to as named executive officers (NEOs), during fiscal 2008. All elements of compensation of the NEOs are determined by the Compensation Committee of the Board of Directors and approved by the Board of Directors and are based on the same compensation philosophy which applies to all our executive officers. It is important to note that while this discussion relates primarily to the compensation of our NEOs, we are committed to providing competitive and equitable compensation programs for all of our employees, which include many of the elements discussed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Philosophy</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overall compensation philosophy is to provide an executive compensation package that enables us to attract, retain and motivate executive officers to achieve our short-term and long-term business goals. Consistent with this philosophy, the following goals provide a framework for our executive compensation program:</w:t>
      </w:r>
    </w:p>
    <w:p>
      <w:pPr>
        <w:spacing w:after="0" w:line="5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and retain individuals of superior ability and managerial talent;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Ensure each executive’s compensation is aligned with our corporate strategies, business objectives and the long-term interests of our shareholders;</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the incentive to achieve key strategic and financial performance measures by linking incentive award opportunities to the achievement of performance goals in these areas;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Enhance the executives’ incentive to maximize shareholder value and promote retention of key people, by providing a portion of total compensation opportunities in the form of stock option grants.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order to achieve the above goals, our total compensation packages include base salary, annual bonus or commissions, all paid in cash, as well as long-term compensation in the form of stock options. Our sales employees participate in a commission plan and not the annual bonus plan. We believe that appropriately balancing the total compensation package and ensuring the viability of each component of the package is necessary in order to provide market-competitive compensation.</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Compensation Committee periodically reviews our compensation programs and philosophy to ensure that they are consistent with our goal of attracting, retaining, and motivating our executive officers to deliver outstanding results for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Establishing Executive Compensation</w:t>
      </w:r>
    </w:p>
    <w:p>
      <w:pPr>
        <w:spacing w:after="0" w:line="96" w:lineRule="exact"/>
        <w:rPr>
          <w:sz w:val="20"/>
          <w:szCs w:val="20"/>
          <w:color w:val="auto"/>
        </w:rPr>
      </w:pPr>
    </w:p>
    <w:p>
      <w:pPr>
        <w:ind w:right="60" w:firstLine="456"/>
        <w:spacing w:after="0" w:line="300" w:lineRule="auto"/>
        <w:rPr>
          <w:sz w:val="20"/>
          <w:szCs w:val="20"/>
          <w:color w:val="auto"/>
        </w:rPr>
      </w:pPr>
      <w:r>
        <w:rPr>
          <w:rFonts w:ascii="Arial" w:cs="Arial" w:eastAsia="Arial" w:hAnsi="Arial"/>
          <w:sz w:val="15"/>
          <w:szCs w:val="15"/>
          <w:color w:val="auto"/>
        </w:rPr>
        <w:t>The Compensation Committee reviews and approves all compensation programs (including equity compensation) applicable to our executive officers. The Compensation Committee reviews the executive compensation program in connection with our annual performance review process, which typically concludes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of each year, with changes to compensation effective July 1</w:t>
      </w:r>
      <w:r>
        <w:rPr>
          <w:rFonts w:ascii="Arial" w:cs="Arial" w:eastAsia="Arial" w:hAnsi="Arial"/>
          <w:sz w:val="22"/>
          <w:szCs w:val="22"/>
          <w:color w:val="auto"/>
          <w:vertAlign w:val="superscript"/>
        </w:rPr>
        <w:t>st</w:t>
      </w:r>
      <w:r>
        <w:rPr>
          <w:rFonts w:ascii="Arial" w:cs="Arial" w:eastAsia="Arial" w:hAnsi="Arial"/>
          <w:sz w:val="18"/>
          <w:szCs w:val="18"/>
          <w:color w:val="auto"/>
        </w:rPr>
        <w:t>.</w:t>
      </w:r>
    </w:p>
    <w:p>
      <w:pPr>
        <w:spacing w:after="0" w:line="15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Consistent with the objectives and philosophies set forth above, the Compensation Committee evaluates compensation of our executive officers annually by considering both the individual elements and the total amount of potential compensation available under our compensation programs. The committee also considers a variety of additional factors when establishing compensation, including:</w:t>
      </w:r>
    </w:p>
    <w:p>
      <w:pPr>
        <w:spacing w:after="0" w:line="59"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the Company’s overall performance, during the prior 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of responsibility;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breadth, scope and complexity of the position;</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executive’s current and historical compensation levels, including a review of the mix of the various elements of compensation previously provided to the executive;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executive officer compensation levels at other similar companies to ensure competitive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 Benchmarking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While we do not believe that it is appropriate to establish compensation levels based solely on benchmarking, we believe that information regarding pay practices at other companies is nevertheless useful in two respects. First, we recognize that compensation practices must be competitive in the marketplace. Second, independent marketplace information is one of the many factors that we consider in assessing the reasonableness of compensation. Accordingly, although our Compensation Committee has not retained a compensation consultant to review our policies and procedures with respect to our executive compensation, the committee utilizes the annual benchmark review of the base salaries of our executive officers prepared by our human resources personnel. This review is based on the information provided by Radford’s Executive Survey and comparative information obtained from Equilar.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From the Radford survey, we considered data from companies that had revenues between $200 million and $1 billion and located throughout Northern California, which formed our peer group data. The effective date of the Radford survey was April 2008. The survey included results from 94 companies.</w:t>
      </w:r>
    </w:p>
    <w:p>
      <w:pPr>
        <w:spacing w:after="0" w:line="89" w:lineRule="exact"/>
        <w:rPr>
          <w:sz w:val="20"/>
          <w:szCs w:val="20"/>
          <w:color w:val="auto"/>
        </w:rPr>
      </w:pPr>
    </w:p>
    <w:p>
      <w:pPr>
        <w:ind w:right="20" w:firstLine="456"/>
        <w:spacing w:after="0" w:line="254" w:lineRule="auto"/>
        <w:rPr>
          <w:sz w:val="20"/>
          <w:szCs w:val="20"/>
          <w:color w:val="auto"/>
        </w:rPr>
      </w:pPr>
      <w:r>
        <w:rPr>
          <w:rFonts w:ascii="Arial" w:cs="Arial" w:eastAsia="Arial" w:hAnsi="Arial"/>
          <w:sz w:val="16"/>
          <w:szCs w:val="16"/>
          <w:color w:val="auto"/>
        </w:rPr>
        <w:t>In 2008, for executives, we generally targeted total base salary at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to 75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peer group. We strongly believe in engaging the best talent in critical functions, and this may entail negotiations with individual executives who may have significant retention packages in place with other employers. In order to attract such individuals to our company, we may determine that it is in our best interests to negotiate packages that deviate from the general principle</w:t>
      </w:r>
    </w:p>
    <w:p>
      <w:pPr>
        <w:spacing w:after="0" w:line="2"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of targeting total base salary at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to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our peer group. Similarly, we may determine to provide compensation adjustments outside the normal cycle to address retention issues to individuals.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Performance Reviews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CEO documents each executive officer’s performance during the year, detailing accomplishments, areas of strength, and areas for development. The CEO bases his evaluation on his knowledge of each executive officer’s performance, an individual self-assessment completed by each executive officer, and feedback provided by each executive officer’s peers and direct reports. The CEO also reviews the compensation data gathered from the compensation surveys and makes a recommendation to the committee on each executive officer’s base salary, annual incentive cash baselines, and equity awards. The CEO does not propose compensation for himself. The VP of Human Resources solicits feedback about the CEO’s performance from all the members of the Board as well as from all executive officers. This, along with peer group data, is presented to the Compensation Committee. The CEO was not present during the discussion of his compensation. The final recommendation by the Compensation Committee was approved by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Base salary is primarily determined by market benchmarking and individual job performance. Base salaries for executives are reviewed annually or more frequently should there be significant changes in responsibilities. In each case, we take into account the results achieved by the executive, his or her future potential, scope of responsibilities and experience, and competitive salary practices.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approved increases for the NEOs in base salary during 2006, 2007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60" w:type="dxa"/>
            <w:vAlign w:val="bottom"/>
            <w:vMerge w:val="restart"/>
          </w:tcPr>
          <w:p>
            <w:pPr>
              <w:spacing w:after="0"/>
              <w:rPr>
                <w:sz w:val="14"/>
                <w:szCs w:val="14"/>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Base salary effective July 1,</w:t>
            </w:r>
          </w:p>
        </w:tc>
        <w:tc>
          <w:tcPr>
            <w:tcW w:w="340" w:type="dxa"/>
            <w:vAlign w:val="bottom"/>
          </w:tcPr>
          <w:p>
            <w:pPr>
              <w:spacing w:after="0"/>
              <w:rPr>
                <w:sz w:val="14"/>
                <w:szCs w:val="14"/>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3560" w:type="dxa"/>
            <w:vAlign w:val="bottom"/>
            <w:vMerge w:val="continue"/>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2006 ($)</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2007 ($)</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2008 ($)</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In 2008</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In 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Lonnie M. Smith</w:t>
            </w: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445,000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485,000</w:t>
            </w:r>
          </w:p>
        </w:tc>
        <w:tc>
          <w:tcPr>
            <w:tcW w:w="9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6"/>
              </w:rPr>
              <w:t>508,700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Marshall L. Mohr</w:t>
            </w: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300,000</w:t>
            </w: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320,000</w:t>
            </w:r>
          </w:p>
        </w:tc>
        <w:tc>
          <w:tcPr>
            <w:tcW w:w="920" w:type="dxa"/>
            <w:vAlign w:val="bottom"/>
            <w:gridSpan w:val="2"/>
          </w:tcPr>
          <w:p>
            <w:pPr>
              <w:jc w:val="center"/>
              <w:ind w:left="272"/>
              <w:spacing w:after="0"/>
              <w:rPr>
                <w:sz w:val="20"/>
                <w:szCs w:val="20"/>
                <w:color w:val="auto"/>
              </w:rPr>
            </w:pPr>
            <w:r>
              <w:rPr>
                <w:rFonts w:ascii="Arial" w:cs="Arial" w:eastAsia="Arial" w:hAnsi="Arial"/>
                <w:sz w:val="18"/>
                <w:szCs w:val="18"/>
                <w:color w:val="auto"/>
                <w:w w:val="86"/>
              </w:rPr>
              <w:t>335,000</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S. Guthart (1)</w:t>
            </w: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360,000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410,000</w:t>
            </w:r>
          </w:p>
        </w:tc>
        <w:tc>
          <w:tcPr>
            <w:tcW w:w="9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6"/>
              </w:rPr>
              <w:t>430,000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Jerome J. McNamara (1)</w:t>
            </w: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280,000</w:t>
            </w:r>
          </w:p>
        </w:tc>
        <w:tc>
          <w:tcPr>
            <w:tcW w:w="580" w:type="dxa"/>
            <w:vAlign w:val="bottom"/>
          </w:tcPr>
          <w:p>
            <w:pPr>
              <w:jc w:val="center"/>
              <w:spacing w:after="0"/>
              <w:rPr>
                <w:sz w:val="20"/>
                <w:szCs w:val="20"/>
                <w:color w:val="auto"/>
              </w:rPr>
            </w:pPr>
            <w:r>
              <w:rPr>
                <w:rFonts w:ascii="Arial" w:cs="Arial" w:eastAsia="Arial" w:hAnsi="Arial"/>
                <w:sz w:val="18"/>
                <w:szCs w:val="18"/>
                <w:color w:val="auto"/>
                <w:w w:val="86"/>
              </w:rPr>
              <w:t>320,000</w:t>
            </w:r>
          </w:p>
        </w:tc>
        <w:tc>
          <w:tcPr>
            <w:tcW w:w="920" w:type="dxa"/>
            <w:vAlign w:val="bottom"/>
            <w:gridSpan w:val="2"/>
          </w:tcPr>
          <w:p>
            <w:pPr>
              <w:jc w:val="center"/>
              <w:ind w:left="272"/>
              <w:spacing w:after="0"/>
              <w:rPr>
                <w:sz w:val="20"/>
                <w:szCs w:val="20"/>
                <w:color w:val="auto"/>
              </w:rPr>
            </w:pPr>
            <w:r>
              <w:rPr>
                <w:rFonts w:ascii="Arial" w:cs="Arial" w:eastAsia="Arial" w:hAnsi="Arial"/>
                <w:sz w:val="18"/>
                <w:szCs w:val="18"/>
                <w:color w:val="auto"/>
                <w:w w:val="86"/>
              </w:rPr>
              <w:t>335,000</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J. Meltzer</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315,000</w:t>
            </w:r>
          </w:p>
        </w:tc>
        <w:tc>
          <w:tcPr>
            <w:tcW w:w="9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6"/>
              </w:rPr>
              <w:t>325,000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higher increase in 2007 was due to Mr. Guthart’s and Mr. McNamara’s promotions to their current positions.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fiscal 2008, the NEO’s received base salary increases generally consistent with increases provided to other salaried employees of the Company. Our</w:t>
      </w:r>
    </w:p>
    <w:p>
      <w:pPr>
        <w:spacing w:after="0" w:line="46"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general philosophy is to target base salary between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our peer group. Deviations from this standard may reflect unique circumstances associated with a particular executive (i.e. set of skills, expertise and breadth of responsibilities).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annual cash bonus plan and our commission/performance plan are designed to reward employees for achieving stretch financial and operating goals that are key to the success of our business and aligned with the near and long-term interests of our shareholders. The Compensation Committee believes that these goals are appropriate to encourage our team to achieve superior financial performance for the Company with the goal of generating shareholder value. We establish base (80% of target), target (100%) and stretch levels (125% of target) for each goal, as appropriate. Sales employees are eligible to participate in the Company’s commission plan. Non-commissioned employees who are employed through the time of payout are eligible to participate in the bonus plan. Our bonus plan is based on a two-step structure.</w:t>
      </w:r>
    </w:p>
    <w:p>
      <w:pPr>
        <w:spacing w:after="0" w:line="144"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Plan Funding</w:t>
      </w:r>
      <w:r>
        <w:rPr>
          <w:rFonts w:ascii="Arial" w:cs="Arial" w:eastAsia="Arial" w:hAnsi="Arial"/>
          <w:sz w:val="18"/>
          <w:szCs w:val="18"/>
          <w:color w:val="auto"/>
        </w:rPr>
        <w:t>. The first step is comprised of an overall Plan Funding goal tied to operating income, excluding stock option expense. For 2008,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began funding at the previous year’s operating income level, excluding stock option expense, to a maximum funding of 125% at a predetermined increase in operating income, excluding stock option expense.</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Payout of Funded Amounts</w:t>
      </w:r>
      <w:r>
        <w:rPr>
          <w:rFonts w:ascii="Arial" w:cs="Arial" w:eastAsia="Arial" w:hAnsi="Arial"/>
          <w:sz w:val="16"/>
          <w:szCs w:val="16"/>
          <w:color w:val="auto"/>
        </w:rPr>
        <w:t>. In the second step, amounts funded in the first step are paid to employees based on goals established in the areas of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and market development, manufacturing and quality, efficiency and cost performance and other areas directed at long-term shareholder value enhancement. The amount of our incentive pool that will be paid out as incentive bonuses (Pay-Out Pool) for each NEO is determined by an equal weighting of achievement of the operating income goal and team performance goals. The size of the Pay-Out Pool generally cannot exceed the size of the Plan Funding.</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Team performance goals for the NEOs are established at the corporate level and are comprised of procedural growth, system sales growth and revenue growth, and goals related to fixed costs, marketing objectives, customer training effectiveness, product development, regulatory approvals and compliance, new product introductions, quality of production, applied research and intellectual property. Each NEO must contribute as a member of the team to the Company’s overall success rather than merely achieve specific objectives within that officer’s area of responsibility. The corporate level goals are initially established by the CEO and then reviewed and approved by the Board of Directors annually at the beginning of the year. Since the specific targets of our corporate performance goals are highly confidential, we do not publicly disclose specific objectives. Revealing specific objectives would provide competitors and other third parties with insights into the Company’s confidential planning process and strategies, thereby causing competitive harm.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nature of goals and the weighting assigned to each is subject to change annually. Recurring goals are generally set above prior year results and budgeted levels. The performance goals are designed to be aggressive, and there is a risk that payments will not be made at all or will be made at less than 100% of the target amount. The achievement of the goals may be affected by several factors including, but not limited to, the impact of the general economic conditions, credit market and the related impact on health care spending; timing and success of product development and market acceptance of developed products; and regulatory approvals, clearances and restrictions. Due to these factors which are not entirely controlled by the NEOs and the stretch nature of the goal setting, it is relatively difficult to achieve the corporate performance goals. The challenge of the goals and the uncertainty in the environment ensures that any payments under the plan are truly performance-based, consistent with the plan’s objectives. Each NEO’s share of the Pay-Out Pool will be based upon their individual performance and contribution to the achievement of their goals.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bonus targets for the NEOs other than Mr. McNamara are as follows: 60% of base salary for the CEO; 50% of base salary for the President and 40% of base salary for Senior Vice Presidents (SVPs).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exception to this bonus structure is the Executive Vice President, Worldwide Sales and Marketing (EVP of Sales and Marketing) whose incentive is tied fully to a performance plan which is calculated based on achievement of predetermined sales metrics, including revenue, surgical procedures completed, contribution margins and fixed costs. Under his performance plan which is approved by the Board of Directors during the beginning of the year, the EVP of Sales and Marketing is assigned a threshold, budget and maximum level for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each metric which is then applied to a scaled bonus rate. The performance pay-out is scaled to the over-achievement of each metric.</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year, the bonus and commissions structures are reviewed to ensure that the design and payment structure falls in line with our compensation philosophy. The incentive pool may be funded at a maximum of 125% of the target. At the end of each year, the Compensation Committee determines the amount of the award to be paid to each officer by comparing actual results to the performance goals. The Compensation Committee may, in its discretion, reduce or increase the amount of any individual award based on the officer’s overall performance and his contribution to the achievement of the corporate performance goals.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fiscal 2008, we exceeded our goals established for operational income. As a result, the incentive pool was funded at 125% of the total targeted cash amount. Refer to Non-Equity Incentive Compensation Plan Compensation column under Summary Compensation Table below for actual bonus amounts earned in fiscal 2008 and paid in fiscal 2009. The amounts earned are a reflection of the Company’s performance as well as the NEO’s individual performance against their goals.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our compensation philosophy, a substantial portion of our compensation rewards long-term performance of our company and promotes executive retention. This is delivered to all employees including executives through stock options granted upon their initial hire and through ongoing annual focal grants. Similar to base salary increases, option grants are also granted to address promotions and significant changes in responsibility. A number of factors are considered when providing a new hire grant including experience, past achievements and contributions as well as perceived future contribution and internal parity. Similarly, a number of factors are considered when providing focal grants including individual performance, job level and retention.</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5"/>
          <w:szCs w:val="15"/>
          <w:color w:val="auto"/>
        </w:rPr>
        <w:t>Although the expense of stock options affects our financial statements negatively, we continue to believe that this is a strong element of compensation that focuses the employees on financial and operational performance to create value for the long-term. Stock option awards are “time based” and vest based on the employee’s continued employment with us following the grant date. In order to provide an incentive for continued employment, stock options granted under the</w:t>
      </w:r>
    </w:p>
    <w:p>
      <w:pPr>
        <w:spacing w:after="0" w:line="1" w:lineRule="exact"/>
        <w:rPr>
          <w:sz w:val="20"/>
          <w:szCs w:val="20"/>
          <w:color w:val="auto"/>
        </w:rPr>
      </w:pPr>
    </w:p>
    <w:p>
      <w:pPr>
        <w:ind w:right="180"/>
        <w:spacing w:after="0" w:line="230" w:lineRule="auto"/>
        <w:rPr>
          <w:sz w:val="20"/>
          <w:szCs w:val="20"/>
          <w:color w:val="auto"/>
        </w:rPr>
      </w:pPr>
      <w:r>
        <w:rPr>
          <w:rFonts w:ascii="Arial" w:cs="Arial" w:eastAsia="Arial" w:hAnsi="Arial"/>
          <w:sz w:val="18"/>
          <w:szCs w:val="18"/>
          <w:color w:val="auto"/>
        </w:rPr>
        <w:t xml:space="preserve">Stock Option Plans generally vest 12.5% upon completion of 6 months service and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48</w:t>
      </w:r>
      <w:r>
        <w:rPr>
          <w:rFonts w:ascii="Arial" w:cs="Arial" w:eastAsia="Arial" w:hAnsi="Arial"/>
          <w:sz w:val="18"/>
          <w:szCs w:val="18"/>
          <w:color w:val="auto"/>
        </w:rPr>
        <w:t xml:space="preserve"> per month thereafter, and generally expire ten years from the date of the grant. This provides a reasonable time frame to align the executive officer compensation with the appreciation of our Company’s stock price while managing potential dilution effectively.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comparison of annual focal grants during 2008, 2007, and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40" w:type="dxa"/>
            <w:vAlign w:val="bottom"/>
            <w:tcBorders>
              <w:bottom w:val="single" w:sz="8" w:color="auto"/>
            </w:tcBorders>
            <w:gridSpan w:val="5"/>
          </w:tcPr>
          <w:p>
            <w:pPr>
              <w:jc w:val="center"/>
              <w:ind w:left="398"/>
              <w:spacing w:after="0"/>
              <w:rPr>
                <w:sz w:val="20"/>
                <w:szCs w:val="20"/>
                <w:color w:val="auto"/>
              </w:rPr>
            </w:pPr>
            <w:r>
              <w:rPr>
                <w:rFonts w:ascii="Arial" w:cs="Arial" w:eastAsia="Arial" w:hAnsi="Arial"/>
                <w:sz w:val="14"/>
                <w:szCs w:val="14"/>
                <w:b w:val="1"/>
                <w:bCs w:val="1"/>
                <w:color w:val="auto"/>
                <w:w w:val="89"/>
              </w:rPr>
              <w:t>Annual Focal Grant</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Initial Grant</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Initial Grant</w:t>
            </w:r>
          </w:p>
        </w:tc>
      </w:tr>
      <w:tr>
        <w:trPr>
          <w:trHeight w:val="142"/>
        </w:trPr>
        <w:tc>
          <w:tcPr>
            <w:tcW w:w="3280" w:type="dxa"/>
            <w:vAlign w:val="bottom"/>
          </w:tcPr>
          <w:p>
            <w:pPr>
              <w:spacing w:after="0"/>
              <w:rPr>
                <w:sz w:val="12"/>
                <w:szCs w:val="12"/>
                <w:color w:val="auto"/>
              </w:rPr>
            </w:pPr>
          </w:p>
        </w:tc>
        <w:tc>
          <w:tcPr>
            <w:tcW w:w="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NEO</w:t>
            </w:r>
          </w:p>
        </w:tc>
        <w:tc>
          <w:tcPr>
            <w:tcW w:w="3500" w:type="dxa"/>
            <w:vAlign w:val="bottom"/>
          </w:tcPr>
          <w:p>
            <w:pPr>
              <w:spacing w:after="0"/>
              <w:rPr>
                <w:sz w:val="12"/>
                <w:szCs w:val="12"/>
                <w:color w:val="auto"/>
              </w:rPr>
            </w:pPr>
          </w:p>
        </w:tc>
        <w:tc>
          <w:tcPr>
            <w:tcW w:w="5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Lonnie M. Smith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60,000</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Marshall L. Mohr (1)</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25,000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ind w:left="420"/>
              <w:spacing w:after="0"/>
              <w:rPr>
                <w:sz w:val="20"/>
                <w:szCs w:val="20"/>
                <w:color w:val="auto"/>
              </w:rPr>
            </w:pPr>
            <w:r>
              <w:rPr>
                <w:rFonts w:ascii="Arial" w:cs="Arial" w:eastAsia="Arial" w:hAnsi="Arial"/>
                <w:sz w:val="18"/>
                <w:szCs w:val="18"/>
                <w:color w:val="auto"/>
                <w:w w:val="83"/>
              </w:rPr>
              <w:t>50,000</w:t>
            </w:r>
          </w:p>
        </w:tc>
        <w:tc>
          <w:tcPr>
            <w:tcW w:w="20" w:type="dxa"/>
            <w:vAlign w:val="bottom"/>
          </w:tcPr>
          <w:p>
            <w:pPr>
              <w:spacing w:after="0"/>
              <w:rPr>
                <w:sz w:val="18"/>
                <w:szCs w:val="18"/>
                <w:color w:val="auto"/>
              </w:rPr>
            </w:pPr>
          </w:p>
        </w:tc>
      </w:tr>
      <w:tr>
        <w:trPr>
          <w:trHeight w:val="216"/>
        </w:trPr>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S. Guthart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50,000</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Jerome J. McNamara</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40,000</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25,000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J. Meltzer (1)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25,000</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30,000</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Meltzer joined Intuitive in 2007 and Mr. Mohr joined in 2006, and neither received a focal grant during the year of his hire.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 practice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has delegated the authority to the CEO to make initial option grants, within an approved range, to new employees, excluding executive officers. During 2008, all initial hire grants were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granted once a month on the fifth business day of each month for new hires in the previous month, at an exercise price equal to the closing sales price of our stock on the grant date. For annual focal option grants to all employees, the Compensation Committee must review and submit its recommendation for approval by the</w:t>
      </w:r>
    </w:p>
    <w:p>
      <w:pPr>
        <w:spacing w:after="0" w:line="1"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Board of Directors. These focal grants will be made on February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or the next trading day. This timing enables management and the Compensation Committee to consider performance by both the Company and the individual and balance it against our expectations for the current year.</w:t>
      </w:r>
    </w:p>
    <w:p>
      <w:pPr>
        <w:spacing w:after="0" w:line="18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do not time the granting of our options with any favorable or unfavorable news released by the Company. The initial grants are based on the timing of date of hire of our new employees. The Board of Directors meeting schedule, for approval of annual focal grants, is usually established several months in advance for the year. Proximity of any awards to an earnings announcement or other market events is coincidental.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December 2008, the Company has entered into a change of control severance plan (Severance Plan) available to all eligible employees, including our NEOs that provides the employees with enhanced financial security, efficient incentive and encouragement to employees to remain with the Company notwithstanding the possibility of a change of control. In addition, the Compensation Committee and management believe change of control protections enhance the impartiality and objectivity of the executive officers in the event of a change of control transaction and better ensure that shareholder interests are protected. Since Mr. Smith is eligible to participate in the Severance Plan, his employment agreement has been terminated.</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Potential Payment Upon Termination or Change in Control</w:t>
      </w:r>
      <w:r>
        <w:rPr>
          <w:rFonts w:ascii="Arial" w:cs="Arial" w:eastAsia="Arial" w:hAnsi="Arial"/>
          <w:sz w:val="18"/>
          <w:szCs w:val="18"/>
          <w:color w:val="auto"/>
        </w:rPr>
        <w:t xml:space="preserve"> below for a more complete description of the Severance Plan, estimate of the compensation that would have been payable had they been triggered at December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162(m) of Internal Revenue Code limits compensation deduction for the CEO and three other most highly compensated executive officers of public companies (other than CFO), to $1 million per officer per year, with exception for “qualified performance-based compensation” which among other things requires shareholder approval and periodic re-approval for the compensation plans. Awards under the Company’s current stock-based plans do not qualify for this exception and are subject to this limitation under Section 162(m). Since the Compensation Committee retains discretion with respect to base salaries and certain other compensation awards, those elements would not qualify as “performance based” compensation for section 162(m) purposes.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Committee has reviewed and discussed the Compensation Discussion and Analysis contained in this Annual Report on Form 10-K with management. Based on our Committee’s review of and the discussions with management with respect to the Compensation Discussion and Analysis, our Committee recommended to the board of directors that the Compensation Discussion and Analysis be included in our Proxy Statement and in this Annual Report on Form 10-K for the fiscal year ended December 31, 2008 for filing with the SEC.</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 Keith Grossman,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Eric H. Halvorson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Alan J. Levy, Ph.D.</w:t>
      </w:r>
    </w:p>
    <w:p>
      <w:pPr>
        <w:spacing w:after="0" w:line="16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i w:val="1"/>
          <w:iCs w:val="1"/>
          <w:color w:val="auto"/>
        </w:rPr>
        <w:t>The foregoing Compensation Committee report shall not be deemed incorporated by reference into any filing under the Securities Act of 1933 or the Securities Exchange Act of 1934, and shall not otherwise be deemed filed under these acts, except to the extent we incorporate by reference into such filings.</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00"/>
          </w:cols>
          <w:pgMar w:left="24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Summary Compensation Table (SCT) sets forth summary information concerning the compensation paid to our NEOs in 2008, 2007, and 2006 for services to our company in all capacities.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Salary</w:t>
            </w: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Bonus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8"/>
              </w:rPr>
              <w:t>Name and Principal Position</w:t>
            </w: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(2)</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Lonnie M. Smith, Chief Executive Officer and Chairman of the Board</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2008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496,850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3,943,525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4,830,375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2007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465,000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2,107,432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2006</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427,500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2,277,142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Marshall L. Mohr, Senior Vice President and Chief Financial Officer</w:t>
            </w:r>
          </w:p>
        </w:tc>
        <w:tc>
          <w:tcPr>
            <w:tcW w:w="12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79"/>
              </w:rPr>
              <w:t>2008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327,500</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1,667,650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172,000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2,167,150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79"/>
              </w:rPr>
              <w:t>2007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310,000</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845,742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1,315,742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79"/>
              </w:rPr>
              <w:t>2006</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237,500</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50,000</w:t>
            </w:r>
          </w:p>
        </w:tc>
        <w:tc>
          <w:tcPr>
            <w:tcW w:w="880" w:type="dxa"/>
            <w:vAlign w:val="bottom"/>
          </w:tcPr>
          <w:p>
            <w:pPr>
              <w:jc w:val="right"/>
              <w:spacing w:after="0"/>
              <w:rPr>
                <w:sz w:val="20"/>
                <w:szCs w:val="20"/>
                <w:color w:val="auto"/>
              </w:rPr>
            </w:pPr>
            <w:r>
              <w:rPr>
                <w:rFonts w:ascii="Arial" w:cs="Arial" w:eastAsia="Arial" w:hAnsi="Arial"/>
                <w:sz w:val="18"/>
                <w:szCs w:val="18"/>
                <w:color w:val="auto"/>
              </w:rPr>
              <w:t>511,181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923,681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S. Guthart, President and Chief Operating Officer</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2008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2,897,948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3,592,948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2007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385,000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2006</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343,750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w w:val="94"/>
              </w:rPr>
              <w:t>Jerome J. McNamara, Executive Vice President, Worldwide Sales and Marketing</w:t>
            </w:r>
          </w:p>
        </w:tc>
        <w:tc>
          <w:tcPr>
            <w:tcW w:w="12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79"/>
              </w:rPr>
              <w:t>2008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327,500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2,086,976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530,823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2,945,299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79"/>
              </w:rPr>
              <w:t>2007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300,000</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869,649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834,726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2,004,375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79"/>
              </w:rPr>
              <w:t>2006</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258,750</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655,736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595,508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1,509,994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J. Meltzer, Senior Vice President, General Counsel (4)</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2008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320,000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2,339,426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2007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40,587</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John F. Runkel, Former Senior Vice President, General Counsel (5)</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79"/>
              </w:rPr>
              <w:t>2007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291,000</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748,172</w:t>
            </w:r>
          </w:p>
        </w:tc>
        <w:tc>
          <w:tcPr>
            <w:tcW w:w="1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1,039,172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w w:val="79"/>
              </w:rPr>
              <w:t>2006</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285,990</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70,000</w:t>
            </w:r>
          </w:p>
        </w:tc>
        <w:tc>
          <w:tcPr>
            <w:tcW w:w="880" w:type="dxa"/>
            <w:vAlign w:val="bottom"/>
          </w:tcPr>
          <w:p>
            <w:pPr>
              <w:jc w:val="right"/>
              <w:spacing w:after="0"/>
              <w:rPr>
                <w:sz w:val="20"/>
                <w:szCs w:val="20"/>
                <w:color w:val="auto"/>
              </w:rPr>
            </w:pPr>
            <w:r>
              <w:rPr>
                <w:rFonts w:ascii="Arial" w:cs="Arial" w:eastAsia="Arial" w:hAnsi="Arial"/>
                <w:sz w:val="18"/>
                <w:szCs w:val="18"/>
                <w:color w:val="auto"/>
              </w:rPr>
              <w:t>744,788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1,190,778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1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Benjamin B. Gong, Vice President, Finance (6)</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2006</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204,000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382,486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692,486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Refers to payment of sign-on bonus for joining Intuitive Surgical.</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column represent the dollar amount recognized for financial statement reporting purposes with respect to the fiscal year in accordance with SFAS 123(R). These amounts may reflect options granted in years prior to 2007. See Note 7 of the notes to our consolidated financial statements contained elsewhere in this Annual Report on Form 10-K for a discussion of all assumptions made by us in determining the SFAS 123(R) values of its equity awards.</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Refers to annual bonus and commissions earned in the current fiscal year and paid during February of the next fiscal year. See CD&amp;A for a more detailed discussion.</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Meltzer joined the Company in October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Runkel left the Company in December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Gong served as the Principal Financial Officer from November 2005 through March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5"/>
            <w:vMerge w:val="restart"/>
          </w:tcPr>
          <w:p>
            <w:pPr>
              <w:jc w:val="right"/>
              <w:ind w:right="398"/>
              <w:spacing w:after="0"/>
              <w:rPr>
                <w:sz w:val="20"/>
                <w:szCs w:val="20"/>
                <w:color w:val="auto"/>
              </w:rPr>
            </w:pPr>
            <w:r>
              <w:rPr>
                <w:rFonts w:ascii="Arial" w:cs="Arial" w:eastAsia="Arial" w:hAnsi="Arial"/>
                <w:sz w:val="14"/>
                <w:szCs w:val="14"/>
                <w:b w:val="1"/>
                <w:bCs w:val="1"/>
                <w:color w:val="auto"/>
              </w:rPr>
              <w:t>Estimated Future Payouts Under</w:t>
            </w: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All Other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6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5"/>
                <w:szCs w:val="5"/>
                <w:color w:val="auto"/>
              </w:rPr>
            </w:pPr>
          </w:p>
        </w:tc>
        <w:tc>
          <w:tcPr>
            <w:tcW w:w="9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60" w:type="dxa"/>
            <w:vAlign w:val="bottom"/>
            <w:gridSpan w:val="5"/>
            <w:vMerge w:val="restart"/>
          </w:tcPr>
          <w:p>
            <w:pPr>
              <w:jc w:val="right"/>
              <w:ind w:right="338"/>
              <w:spacing w:after="0"/>
              <w:rPr>
                <w:sz w:val="20"/>
                <w:szCs w:val="20"/>
                <w:color w:val="auto"/>
              </w:rPr>
            </w:pPr>
            <w:r>
              <w:rPr>
                <w:rFonts w:ascii="Arial" w:cs="Arial" w:eastAsia="Arial" w:hAnsi="Arial"/>
                <w:sz w:val="14"/>
                <w:szCs w:val="14"/>
                <w:b w:val="1"/>
                <w:bCs w:val="1"/>
                <w:color w:val="auto"/>
              </w:rPr>
              <w:t>Non-Equity Incentive Plan Awards</w:t>
            </w:r>
          </w:p>
        </w:tc>
        <w:tc>
          <w:tcPr>
            <w:tcW w:w="2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60" w:type="dxa"/>
            <w:vAlign w:val="bottom"/>
            <w:tcBorders>
              <w:bottom w:val="single" w:sz="8" w:color="auto"/>
            </w:tcBorders>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 of Shares</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6"/>
                <w:szCs w:val="6"/>
                <w:color w:val="auto"/>
              </w:rPr>
            </w:pPr>
          </w:p>
        </w:tc>
        <w:tc>
          <w:tcPr>
            <w:tcW w:w="92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1"/>
              <w:spacing w:after="0" w:line="149" w:lineRule="exact"/>
              <w:rPr>
                <w:sz w:val="20"/>
                <w:szCs w:val="20"/>
                <w:color w:val="auto"/>
              </w:rPr>
            </w:pPr>
            <w:r>
              <w:rPr>
                <w:rFonts w:ascii="Arial" w:cs="Arial" w:eastAsia="Arial" w:hAnsi="Arial"/>
                <w:sz w:val="14"/>
                <w:szCs w:val="14"/>
                <w:b w:val="1"/>
                <w:bCs w:val="1"/>
                <w:color w:val="auto"/>
                <w:w w:val="97"/>
              </w:rPr>
              <w:t>Threshold</w:t>
            </w:r>
          </w:p>
        </w:tc>
        <w:tc>
          <w:tcPr>
            <w:tcW w:w="22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Target</w:t>
            </w:r>
          </w:p>
        </w:tc>
        <w:tc>
          <w:tcPr>
            <w:tcW w:w="92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Maximum</w:t>
            </w:r>
          </w:p>
        </w:tc>
        <w:tc>
          <w:tcPr>
            <w:tcW w:w="2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Options</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Option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Name</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(1)</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 (2)</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Lonnie M. Smith</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2/15/2008</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8,670,948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shd w:val="clear" w:color="auto" w:fill="CCEEFF"/>
          </w:tcPr>
          <w:p>
            <w:pPr>
              <w:ind w:left="400"/>
              <w:spacing w:after="0"/>
              <w:rPr>
                <w:sz w:val="20"/>
                <w:szCs w:val="20"/>
                <w:color w:val="auto"/>
              </w:rPr>
            </w:pPr>
            <w:r>
              <w:rPr>
                <w:rFonts w:ascii="Arial" w:cs="Arial" w:eastAsia="Arial" w:hAnsi="Arial"/>
                <w:sz w:val="18"/>
                <w:szCs w:val="18"/>
                <w:color w:val="auto"/>
              </w:rPr>
              <w:t>305,220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381,525</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gridSpan w:val="4"/>
          </w:tcPr>
          <w:p>
            <w:pPr>
              <w:spacing w:after="0" w:line="201" w:lineRule="exact"/>
              <w:rPr>
                <w:sz w:val="20"/>
                <w:szCs w:val="20"/>
                <w:color w:val="auto"/>
              </w:rPr>
            </w:pPr>
            <w:r>
              <w:rPr>
                <w:rFonts w:ascii="Arial" w:cs="Arial" w:eastAsia="Arial" w:hAnsi="Arial"/>
                <w:sz w:val="18"/>
                <w:szCs w:val="18"/>
                <w:color w:val="auto"/>
              </w:rPr>
              <w:t>Marshall L. Mohr</w:t>
            </w:r>
          </w:p>
        </w:tc>
        <w:tc>
          <w:tcPr>
            <w:tcW w:w="132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2/15/2008</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48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158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25,000</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303.27</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3,612,895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134,000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167,500</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Gary S. Guthart</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2/15/2008</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7,225,790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shd w:val="clear" w:color="auto" w:fill="CCEEFF"/>
          </w:tcPr>
          <w:p>
            <w:pPr>
              <w:ind w:left="400"/>
              <w:spacing w:after="0"/>
              <w:rPr>
                <w:sz w:val="20"/>
                <w:szCs w:val="20"/>
                <w:color w:val="auto"/>
              </w:rPr>
            </w:pPr>
            <w:r>
              <w:rPr>
                <w:rFonts w:ascii="Arial" w:cs="Arial" w:eastAsia="Arial" w:hAnsi="Arial"/>
                <w:sz w:val="18"/>
                <w:szCs w:val="18"/>
                <w:color w:val="auto"/>
              </w:rPr>
              <w:t>215,000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268,750</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40" w:type="dxa"/>
            <w:vAlign w:val="bottom"/>
            <w:gridSpan w:val="4"/>
          </w:tcPr>
          <w:p>
            <w:pPr>
              <w:spacing w:after="0" w:line="201" w:lineRule="exact"/>
              <w:rPr>
                <w:sz w:val="20"/>
                <w:szCs w:val="20"/>
                <w:color w:val="auto"/>
              </w:rPr>
            </w:pPr>
            <w:r>
              <w:rPr>
                <w:rFonts w:ascii="Arial" w:cs="Arial" w:eastAsia="Arial" w:hAnsi="Arial"/>
                <w:sz w:val="18"/>
                <w:szCs w:val="18"/>
                <w:color w:val="auto"/>
              </w:rPr>
              <w:t>Jerome J. McNamara</w:t>
            </w:r>
          </w:p>
        </w:tc>
        <w:tc>
          <w:tcPr>
            <w:tcW w:w="132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2/15/2008</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48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158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40,000</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303.27</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5,780,632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411,551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1,160,000</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Mark J. Meltzer</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2/15/2008</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3,612,895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3"/>
            <w:shd w:val="clear" w:color="auto" w:fill="CCEEFF"/>
          </w:tcPr>
          <w:p>
            <w:pPr>
              <w:ind w:left="400"/>
              <w:spacing w:after="0"/>
              <w:rPr>
                <w:sz w:val="20"/>
                <w:szCs w:val="20"/>
                <w:color w:val="auto"/>
              </w:rPr>
            </w:pPr>
            <w:r>
              <w:rPr>
                <w:rFonts w:ascii="Arial" w:cs="Arial" w:eastAsia="Arial" w:hAnsi="Arial"/>
                <w:sz w:val="18"/>
                <w:szCs w:val="18"/>
                <w:color w:val="auto"/>
              </w:rPr>
              <w:t>130,000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00" w:hanging="452"/>
        <w:spacing w:after="0" w:line="28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bonus targets for Mr. Smith is 60% of base salary; Mr. Guthart is 50% of base salary and 40% of base salary for both Mr. Mohr and Mr. Meltzer. Mr. McNamara is under a performance plan and the target is calculated based on achieving 100% of predetermined sales metrics.</w:t>
      </w:r>
    </w:p>
    <w:p>
      <w:pPr>
        <w:ind w:left="460" w:right="1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maximum bonus or performance payout is calculated at 125% of the target; however, the Compensation Committee may award higher amounts based on individual performance.</w:t>
      </w:r>
    </w:p>
    <w:p>
      <w:pPr>
        <w:ind w:left="460" w:right="10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value of an option award is based on the fair value as of the grant date of such award determined pursuant to SFAS 123(R). See Note 7 of the Notes to our Consolidated Financial Statements contained elsewhere in this Annual Report on Form 10-K for a discussion of all assumptions made by us in determining the SFAS 123(R) value of equity awards.</w:t>
      </w:r>
    </w:p>
    <w:p>
      <w:pPr>
        <w:spacing w:after="0" w:line="144"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Estimated Future Payouts Under Non-Equity Incentive Plan columns refers to the potential payouts under our annual bonus or commission plans. At its discretion, the Compensation Committee has the authority to pay any NEO in excess of or below his or her targeted bonus amount. The goals for 2008 were approved by the Compensation Committee in February 2008. The payout amounts for each NEO were reviewed and approved by the Compensation Committee and the Board of Directors in January 2009 upon completion of the consolidated financial statements for fiscal 2008.</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February 2009, the Compensation Committee approved annual stock option grants for certain eligible employees. The approved grants for the NEOS are as follows: Mr. Smith—60,000; Mr. Mohr—30,000; Mr. Guthart—60,000; Mr. McNamara—50,000 and Mr. Meltzer—30,000.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stock options outstanding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4"/>
                <w:szCs w:val="14"/>
                <w:b w:val="1"/>
                <w:bCs w:val="1"/>
                <w:color w:val="auto"/>
                <w:w w:val="94"/>
              </w:rPr>
              <w:t>Outstanding Equity Awards at 12/31/08</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0" w:type="dxa"/>
            <w:vAlign w:val="bottom"/>
          </w:tcPr>
          <w:p>
            <w:pPr>
              <w:jc w:val="center"/>
              <w:ind w:left="257"/>
              <w:spacing w:after="0" w:line="129" w:lineRule="exact"/>
              <w:rPr>
                <w:sz w:val="20"/>
                <w:szCs w:val="20"/>
                <w:color w:val="auto"/>
              </w:rPr>
            </w:pPr>
            <w:r>
              <w:rPr>
                <w:rFonts w:ascii="Arial" w:cs="Arial" w:eastAsia="Arial" w:hAnsi="Arial"/>
                <w:sz w:val="14"/>
                <w:szCs w:val="14"/>
                <w:b w:val="1"/>
                <w:bCs w:val="1"/>
                <w:color w:val="auto"/>
                <w:w w:val="85"/>
              </w:rPr>
              <w:t># of Securities</w:t>
            </w: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3"/>
              </w:rPr>
              <w:t># of Securities</w:t>
            </w:r>
          </w:p>
        </w:tc>
        <w:tc>
          <w:tcPr>
            <w:tcW w:w="140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90"/>
              </w:rPr>
              <w:t>Underlying</w:t>
            </w: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Underlying</w:t>
            </w:r>
          </w:p>
        </w:tc>
        <w:tc>
          <w:tcPr>
            <w:tcW w:w="140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40" w:type="dxa"/>
            <w:vAlign w:val="bottom"/>
          </w:tcPr>
          <w:p>
            <w:pPr>
              <w:spacing w:after="0"/>
              <w:rPr>
                <w:sz w:val="12"/>
                <w:szCs w:val="12"/>
                <w:color w:val="auto"/>
              </w:rPr>
            </w:pPr>
          </w:p>
        </w:tc>
        <w:tc>
          <w:tcPr>
            <w:tcW w:w="76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88"/>
              </w:rPr>
              <w:t>Option</w:t>
            </w: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0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86"/>
              </w:rPr>
              <w:t>Options</w:t>
            </w:r>
          </w:p>
        </w:tc>
        <w:tc>
          <w:tcPr>
            <w:tcW w:w="1400" w:type="dxa"/>
            <w:vAlign w:val="bottom"/>
            <w:gridSpan w:val="2"/>
          </w:tcPr>
          <w:p>
            <w:pPr>
              <w:jc w:val="center"/>
              <w:ind w:left="193"/>
              <w:spacing w:after="0" w:line="149" w:lineRule="exact"/>
              <w:rPr>
                <w:sz w:val="20"/>
                <w:szCs w:val="20"/>
                <w:color w:val="auto"/>
              </w:rPr>
            </w:pPr>
            <w:r>
              <w:rPr>
                <w:rFonts w:ascii="Arial" w:cs="Arial" w:eastAsia="Arial" w:hAnsi="Arial"/>
                <w:sz w:val="14"/>
                <w:szCs w:val="14"/>
                <w:b w:val="1"/>
                <w:bCs w:val="1"/>
                <w:color w:val="auto"/>
                <w:w w:val="83"/>
              </w:rPr>
              <w:t>Exercise</w:t>
            </w:r>
          </w:p>
        </w:tc>
        <w:tc>
          <w:tcPr>
            <w:tcW w:w="1000" w:type="dxa"/>
            <w:vAlign w:val="bottom"/>
            <w:gridSpan w:val="2"/>
          </w:tcPr>
          <w:p>
            <w:pPr>
              <w:jc w:val="center"/>
              <w:ind w:left="155"/>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6"/>
              </w:rPr>
              <w:t>Options</w:t>
            </w:r>
          </w:p>
        </w:tc>
        <w:tc>
          <w:tcPr>
            <w:tcW w:w="1400" w:type="dxa"/>
            <w:vAlign w:val="bottom"/>
          </w:tcPr>
          <w:p>
            <w:pPr>
              <w:jc w:val="center"/>
              <w:ind w:left="257"/>
              <w:spacing w:after="0" w:line="149" w:lineRule="exact"/>
              <w:rPr>
                <w:sz w:val="20"/>
                <w:szCs w:val="20"/>
                <w:color w:val="auto"/>
              </w:rPr>
            </w:pPr>
            <w:r>
              <w:rPr>
                <w:rFonts w:ascii="Arial" w:cs="Arial" w:eastAsia="Arial" w:hAnsi="Arial"/>
                <w:sz w:val="14"/>
                <w:szCs w:val="14"/>
                <w:b w:val="1"/>
                <w:bCs w:val="1"/>
                <w:color w:val="auto"/>
                <w:w w:val="85"/>
              </w:rPr>
              <w:t>(# Unexerciseable)</w:t>
            </w:r>
          </w:p>
        </w:tc>
        <w:tc>
          <w:tcPr>
            <w:tcW w:w="640" w:type="dxa"/>
            <w:vAlign w:val="bottom"/>
          </w:tcPr>
          <w:p>
            <w:pPr>
              <w:spacing w:after="0"/>
              <w:rPr>
                <w:sz w:val="12"/>
                <w:szCs w:val="12"/>
                <w:color w:val="auto"/>
              </w:rPr>
            </w:pPr>
          </w:p>
        </w:tc>
        <w:tc>
          <w:tcPr>
            <w:tcW w:w="76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87"/>
              </w:rPr>
              <w:t>Price</w:t>
            </w:r>
          </w:p>
        </w:tc>
        <w:tc>
          <w:tcPr>
            <w:tcW w:w="1000" w:type="dxa"/>
            <w:vAlign w:val="bottom"/>
            <w:gridSpan w:val="2"/>
          </w:tcPr>
          <w:p>
            <w:pPr>
              <w:jc w:val="center"/>
              <w:ind w:left="175"/>
              <w:spacing w:after="0" w:line="149" w:lineRule="exact"/>
              <w:rPr>
                <w:sz w:val="20"/>
                <w:szCs w:val="20"/>
                <w:color w:val="auto"/>
              </w:rPr>
            </w:pPr>
            <w:r>
              <w:rPr>
                <w:rFonts w:ascii="Arial" w:cs="Arial" w:eastAsia="Arial" w:hAnsi="Arial"/>
                <w:sz w:val="14"/>
                <w:szCs w:val="14"/>
                <w:b w:val="1"/>
                <w:bCs w:val="1"/>
                <w:color w:val="auto"/>
                <w:w w:val="90"/>
              </w:rPr>
              <w:t>Expiration</w:t>
            </w:r>
          </w:p>
        </w:tc>
      </w:tr>
      <w:tr>
        <w:trPr>
          <w:trHeight w:val="161"/>
        </w:trPr>
        <w:tc>
          <w:tcPr>
            <w:tcW w:w="20" w:type="dxa"/>
            <w:vAlign w:val="bottom"/>
          </w:tcPr>
          <w:p>
            <w:pPr>
              <w:spacing w:after="0"/>
              <w:rPr>
                <w:sz w:val="14"/>
                <w:szCs w:val="14"/>
                <w:color w:val="auto"/>
              </w:rPr>
            </w:pPr>
          </w:p>
        </w:tc>
        <w:tc>
          <w:tcPr>
            <w:tcW w:w="5960" w:type="dxa"/>
            <w:vAlign w:val="bottom"/>
          </w:tcPr>
          <w:p>
            <w:pPr>
              <w:ind w:left="2800"/>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4"/>
                <w:szCs w:val="14"/>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86"/>
              </w:rPr>
              <w:t>(# Exerciseable)</w:t>
            </w:r>
          </w:p>
        </w:tc>
        <w:tc>
          <w:tcPr>
            <w:tcW w:w="1400" w:type="dxa"/>
            <w:vAlign w:val="bottom"/>
          </w:tcPr>
          <w:p>
            <w:pPr>
              <w:jc w:val="center"/>
              <w:ind w:left="257"/>
              <w:spacing w:after="0"/>
              <w:rPr>
                <w:sz w:val="20"/>
                <w:szCs w:val="20"/>
                <w:color w:val="auto"/>
              </w:rPr>
            </w:pPr>
            <w:r>
              <w:rPr>
                <w:rFonts w:ascii="Arial" w:cs="Arial" w:eastAsia="Arial" w:hAnsi="Arial"/>
                <w:sz w:val="14"/>
                <w:szCs w:val="14"/>
                <w:b w:val="1"/>
                <w:bCs w:val="1"/>
                <w:color w:val="auto"/>
                <w:w w:val="94"/>
              </w:rPr>
              <w:t>(*)</w:t>
            </w:r>
          </w:p>
        </w:tc>
        <w:tc>
          <w:tcPr>
            <w:tcW w:w="640" w:type="dxa"/>
            <w:vAlign w:val="bottom"/>
          </w:tcPr>
          <w:p>
            <w:pPr>
              <w:spacing w:after="0"/>
              <w:rPr>
                <w:sz w:val="14"/>
                <w:szCs w:val="14"/>
                <w:color w:val="auto"/>
              </w:rPr>
            </w:pPr>
          </w:p>
        </w:tc>
        <w:tc>
          <w:tcPr>
            <w:tcW w:w="760" w:type="dxa"/>
            <w:vAlign w:val="bottom"/>
          </w:tcPr>
          <w:p>
            <w:pPr>
              <w:jc w:val="center"/>
              <w:ind w:right="277"/>
              <w:spacing w:after="0"/>
              <w:rPr>
                <w:sz w:val="20"/>
                <w:szCs w:val="20"/>
                <w:color w:val="auto"/>
              </w:rPr>
            </w:pPr>
            <w:r>
              <w:rPr>
                <w:rFonts w:ascii="Arial" w:cs="Arial" w:eastAsia="Arial" w:hAnsi="Arial"/>
                <w:sz w:val="14"/>
                <w:szCs w:val="14"/>
                <w:b w:val="1"/>
                <w:bCs w:val="1"/>
                <w:color w:val="auto"/>
                <w:w w:val="85"/>
              </w:rPr>
              <w:t>($/sh)</w:t>
            </w:r>
          </w:p>
        </w:tc>
        <w:tc>
          <w:tcPr>
            <w:tcW w:w="100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Lonnie M. Smith</w:t>
            </w:r>
          </w:p>
        </w:tc>
        <w:tc>
          <w:tcPr>
            <w:tcW w:w="1660" w:type="dxa"/>
            <w:vAlign w:val="bottom"/>
            <w:tcBorders>
              <w:top w:val="single" w:sz="8" w:color="auto"/>
            </w:tcBorders>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29,794</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11.74</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70,000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18.50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2/13/2014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62,292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47.86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42,500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4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$106.69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32,083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14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$112.66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12,500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1400" w:type="dxa"/>
            <w:vAlign w:val="bottom"/>
            <w:tcBorders>
              <w:bottom w:val="single" w:sz="8" w:color="auto"/>
            </w:tcBorders>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$303.27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2/15/2018</w:t>
            </w:r>
          </w:p>
        </w:tc>
        <w:tc>
          <w:tcPr>
            <w:tcW w:w="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rPr>
              <w:t>Marshall L. Mohr</w:t>
            </w:r>
          </w:p>
        </w:tc>
        <w:tc>
          <w:tcPr>
            <w:tcW w:w="540" w:type="dxa"/>
            <w:vAlign w:val="bottom"/>
          </w:tcPr>
          <w:p>
            <w:pPr>
              <w:spacing w:after="0"/>
              <w:rPr>
                <w:sz w:val="17"/>
                <w:szCs w:val="17"/>
                <w:color w:val="auto"/>
              </w:rPr>
            </w:pPr>
          </w:p>
        </w:tc>
        <w:tc>
          <w:tcPr>
            <w:tcW w:w="1120" w:type="dxa"/>
            <w:vAlign w:val="bottom"/>
          </w:tcPr>
          <w:p>
            <w:pPr>
              <w:jc w:val="right"/>
              <w:ind w:right="118"/>
              <w:spacing w:after="0" w:line="201" w:lineRule="exact"/>
              <w:rPr>
                <w:sz w:val="20"/>
                <w:szCs w:val="20"/>
                <w:color w:val="auto"/>
              </w:rPr>
            </w:pPr>
            <w:r>
              <w:rPr>
                <w:rFonts w:ascii="Arial" w:cs="Arial" w:eastAsia="Arial" w:hAnsi="Arial"/>
                <w:sz w:val="18"/>
                <w:szCs w:val="18"/>
                <w:color w:val="auto"/>
              </w:rPr>
              <w:t>20,375</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15,625</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7"/>
              <w:spacing w:after="0" w:line="201" w:lineRule="exact"/>
              <w:rPr>
                <w:sz w:val="20"/>
                <w:szCs w:val="20"/>
                <w:color w:val="auto"/>
              </w:rPr>
            </w:pPr>
            <w:r>
              <w:rPr>
                <w:rFonts w:ascii="Arial" w:cs="Arial" w:eastAsia="Arial" w:hAnsi="Arial"/>
                <w:sz w:val="18"/>
                <w:szCs w:val="18"/>
                <w:color w:val="auto"/>
              </w:rPr>
              <w:t>98.37</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3/17/2016</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60" w:type="dxa"/>
            <w:vAlign w:val="bottom"/>
            <w:gridSpan w:val="2"/>
          </w:tcPr>
          <w:p>
            <w:pPr>
              <w:jc w:val="right"/>
              <w:ind w:right="118"/>
              <w:spacing w:after="0"/>
              <w:rPr>
                <w:sz w:val="20"/>
                <w:szCs w:val="20"/>
                <w:color w:val="auto"/>
              </w:rPr>
            </w:pPr>
            <w:r>
              <w:rPr>
                <w:rFonts w:ascii="Arial" w:cs="Arial" w:eastAsia="Arial" w:hAnsi="Arial"/>
                <w:sz w:val="18"/>
                <w:szCs w:val="18"/>
                <w:color w:val="auto"/>
              </w:rPr>
              <w:t>9,167</w:t>
            </w:r>
          </w:p>
        </w:tc>
        <w:tc>
          <w:tcPr>
            <w:tcW w:w="1400" w:type="dxa"/>
            <w:vAlign w:val="bottom"/>
          </w:tcPr>
          <w:p>
            <w:pPr>
              <w:jc w:val="right"/>
              <w:spacing w:after="0"/>
              <w:rPr>
                <w:sz w:val="20"/>
                <w:szCs w:val="20"/>
                <w:color w:val="auto"/>
              </w:rPr>
            </w:pPr>
            <w:r>
              <w:rPr>
                <w:rFonts w:ascii="Arial" w:cs="Arial" w:eastAsia="Arial" w:hAnsi="Arial"/>
                <w:sz w:val="18"/>
                <w:szCs w:val="18"/>
                <w:color w:val="auto"/>
              </w:rPr>
              <w:t>10,833</w:t>
            </w:r>
          </w:p>
        </w:tc>
        <w:tc>
          <w:tcPr>
            <w:tcW w:w="1400" w:type="dxa"/>
            <w:vAlign w:val="bottom"/>
            <w:gridSpan w:val="2"/>
          </w:tcPr>
          <w:p>
            <w:pPr>
              <w:jc w:val="right"/>
              <w:ind w:right="197"/>
              <w:spacing w:after="0"/>
              <w:rPr>
                <w:sz w:val="20"/>
                <w:szCs w:val="20"/>
                <w:color w:val="auto"/>
              </w:rPr>
            </w:pPr>
            <w:r>
              <w:rPr>
                <w:rFonts w:ascii="Arial" w:cs="Arial" w:eastAsia="Arial" w:hAnsi="Arial"/>
                <w:sz w:val="18"/>
                <w:szCs w:val="18"/>
                <w:color w:val="auto"/>
              </w:rPr>
              <w:t>$112.66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2/15/2017</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60" w:type="dxa"/>
            <w:vAlign w:val="bottom"/>
            <w:gridSpan w:val="2"/>
          </w:tcPr>
          <w:p>
            <w:pPr>
              <w:jc w:val="right"/>
              <w:ind w:right="118"/>
              <w:spacing w:after="0"/>
              <w:rPr>
                <w:sz w:val="20"/>
                <w:szCs w:val="20"/>
                <w:color w:val="auto"/>
              </w:rPr>
            </w:pPr>
            <w:r>
              <w:rPr>
                <w:rFonts w:ascii="Arial" w:cs="Arial" w:eastAsia="Arial" w:hAnsi="Arial"/>
                <w:sz w:val="18"/>
                <w:szCs w:val="18"/>
                <w:color w:val="auto"/>
              </w:rPr>
              <w:t>5,208</w:t>
            </w:r>
          </w:p>
        </w:tc>
        <w:tc>
          <w:tcPr>
            <w:tcW w:w="1400" w:type="dxa"/>
            <w:vAlign w:val="bottom"/>
          </w:tcPr>
          <w:p>
            <w:pPr>
              <w:jc w:val="right"/>
              <w:spacing w:after="0"/>
              <w:rPr>
                <w:sz w:val="20"/>
                <w:szCs w:val="20"/>
                <w:color w:val="auto"/>
              </w:rPr>
            </w:pPr>
            <w:r>
              <w:rPr>
                <w:rFonts w:ascii="Arial" w:cs="Arial" w:eastAsia="Arial" w:hAnsi="Arial"/>
                <w:sz w:val="18"/>
                <w:szCs w:val="18"/>
                <w:color w:val="auto"/>
              </w:rPr>
              <w:t>19,792</w:t>
            </w:r>
          </w:p>
        </w:tc>
        <w:tc>
          <w:tcPr>
            <w:tcW w:w="1400" w:type="dxa"/>
            <w:vAlign w:val="bottom"/>
            <w:gridSpan w:val="2"/>
          </w:tcPr>
          <w:p>
            <w:pPr>
              <w:jc w:val="right"/>
              <w:ind w:right="197"/>
              <w:spacing w:after="0"/>
              <w:rPr>
                <w:sz w:val="20"/>
                <w:szCs w:val="20"/>
                <w:color w:val="auto"/>
              </w:rPr>
            </w:pPr>
            <w:r>
              <w:rPr>
                <w:rFonts w:ascii="Arial" w:cs="Arial" w:eastAsia="Arial" w:hAnsi="Arial"/>
                <w:sz w:val="18"/>
                <w:szCs w:val="18"/>
                <w:color w:val="auto"/>
              </w:rPr>
              <w:t>$303.27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2/15/2018</w:t>
            </w:r>
          </w:p>
        </w:tc>
      </w:tr>
      <w:tr>
        <w:trPr>
          <w:trHeight w:val="211"/>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Gary S. Guthart</w:t>
            </w:r>
          </w:p>
        </w:tc>
        <w:tc>
          <w:tcPr>
            <w:tcW w:w="1660" w:type="dxa"/>
            <w:vAlign w:val="bottom"/>
            <w:tcBorders>
              <w:top w:val="single" w:sz="8" w:color="auto"/>
            </w:tcBorders>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21,255</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14.50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1/22/2011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688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11.74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8,055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18.50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2/13/2014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13,542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47.86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35,417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14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$106.69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16,042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140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$112.66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10,417</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1400" w:type="dxa"/>
            <w:vAlign w:val="bottom"/>
            <w:tcBorders>
              <w:bottom w:val="single" w:sz="8" w:color="auto"/>
            </w:tcBorders>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$303.27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2/15/2018</w:t>
            </w:r>
          </w:p>
        </w:tc>
        <w:tc>
          <w:tcPr>
            <w:tcW w:w="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rPr>
              <w:t>Jerorme J. McNamara</w:t>
            </w:r>
          </w:p>
        </w:tc>
        <w:tc>
          <w:tcPr>
            <w:tcW w:w="540" w:type="dxa"/>
            <w:vAlign w:val="bottom"/>
          </w:tcPr>
          <w:p>
            <w:pPr>
              <w:spacing w:after="0"/>
              <w:rPr>
                <w:sz w:val="17"/>
                <w:szCs w:val="17"/>
                <w:color w:val="auto"/>
              </w:rPr>
            </w:pPr>
          </w:p>
        </w:tc>
        <w:tc>
          <w:tcPr>
            <w:tcW w:w="1120" w:type="dxa"/>
            <w:vAlign w:val="bottom"/>
          </w:tcPr>
          <w:p>
            <w:pPr>
              <w:jc w:val="right"/>
              <w:ind w:right="118"/>
              <w:spacing w:after="0" w:line="201" w:lineRule="exact"/>
              <w:rPr>
                <w:sz w:val="20"/>
                <w:szCs w:val="20"/>
                <w:color w:val="auto"/>
              </w:rPr>
            </w:pPr>
            <w:r>
              <w:rPr>
                <w:rFonts w:ascii="Arial" w:cs="Arial" w:eastAsia="Arial" w:hAnsi="Arial"/>
                <w:sz w:val="18"/>
                <w:szCs w:val="18"/>
                <w:color w:val="auto"/>
              </w:rPr>
              <w:t>2,500</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1,250</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7"/>
              <w:spacing w:after="0" w:line="201" w:lineRule="exact"/>
              <w:rPr>
                <w:sz w:val="20"/>
                <w:szCs w:val="20"/>
                <w:color w:val="auto"/>
              </w:rPr>
            </w:pPr>
            <w:r>
              <w:rPr>
                <w:rFonts w:ascii="Arial" w:cs="Arial" w:eastAsia="Arial" w:hAnsi="Arial"/>
                <w:sz w:val="18"/>
                <w:szCs w:val="18"/>
                <w:color w:val="auto"/>
              </w:rPr>
              <w:t>47.86</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2/11/2015</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60" w:type="dxa"/>
            <w:vAlign w:val="bottom"/>
            <w:gridSpan w:val="2"/>
          </w:tcPr>
          <w:p>
            <w:pPr>
              <w:jc w:val="right"/>
              <w:ind w:right="118"/>
              <w:spacing w:after="0"/>
              <w:rPr>
                <w:sz w:val="20"/>
                <w:szCs w:val="20"/>
                <w:color w:val="auto"/>
              </w:rPr>
            </w:pPr>
            <w:r>
              <w:rPr>
                <w:rFonts w:ascii="Arial" w:cs="Arial" w:eastAsia="Arial" w:hAnsi="Arial"/>
                <w:sz w:val="18"/>
                <w:szCs w:val="18"/>
                <w:color w:val="auto"/>
              </w:rPr>
              <w:t>2,083</w:t>
            </w:r>
          </w:p>
        </w:tc>
        <w:tc>
          <w:tcPr>
            <w:tcW w:w="1400" w:type="dxa"/>
            <w:vAlign w:val="bottom"/>
          </w:tcPr>
          <w:p>
            <w:pPr>
              <w:jc w:val="right"/>
              <w:spacing w:after="0"/>
              <w:rPr>
                <w:sz w:val="20"/>
                <w:szCs w:val="20"/>
                <w:color w:val="auto"/>
              </w:rPr>
            </w:pPr>
            <w:r>
              <w:rPr>
                <w:rFonts w:ascii="Arial" w:cs="Arial" w:eastAsia="Arial" w:hAnsi="Arial"/>
                <w:sz w:val="18"/>
                <w:szCs w:val="18"/>
                <w:color w:val="auto"/>
              </w:rPr>
              <w:t>7,292</w:t>
            </w:r>
          </w:p>
        </w:tc>
        <w:tc>
          <w:tcPr>
            <w:tcW w:w="1400" w:type="dxa"/>
            <w:vAlign w:val="bottom"/>
            <w:gridSpan w:val="2"/>
          </w:tcPr>
          <w:p>
            <w:pPr>
              <w:jc w:val="right"/>
              <w:ind w:right="197"/>
              <w:spacing w:after="0"/>
              <w:rPr>
                <w:sz w:val="20"/>
                <w:szCs w:val="20"/>
                <w:color w:val="auto"/>
              </w:rPr>
            </w:pPr>
            <w:r>
              <w:rPr>
                <w:rFonts w:ascii="Arial" w:cs="Arial" w:eastAsia="Arial" w:hAnsi="Arial"/>
                <w:sz w:val="18"/>
                <w:szCs w:val="18"/>
                <w:color w:val="auto"/>
              </w:rPr>
              <w:t>$106.69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2/7/2016</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60" w:type="dxa"/>
            <w:vAlign w:val="bottom"/>
            <w:gridSpan w:val="2"/>
          </w:tcPr>
          <w:p>
            <w:pPr>
              <w:jc w:val="right"/>
              <w:ind w:right="118"/>
              <w:spacing w:after="0"/>
              <w:rPr>
                <w:sz w:val="20"/>
                <w:szCs w:val="20"/>
                <w:color w:val="auto"/>
              </w:rPr>
            </w:pPr>
            <w:r>
              <w:rPr>
                <w:rFonts w:ascii="Arial" w:cs="Arial" w:eastAsia="Arial" w:hAnsi="Arial"/>
                <w:sz w:val="18"/>
                <w:szCs w:val="18"/>
                <w:color w:val="auto"/>
              </w:rPr>
              <w:t>4,166</w:t>
            </w:r>
          </w:p>
        </w:tc>
        <w:tc>
          <w:tcPr>
            <w:tcW w:w="1400" w:type="dxa"/>
            <w:vAlign w:val="bottom"/>
          </w:tcPr>
          <w:p>
            <w:pPr>
              <w:jc w:val="right"/>
              <w:spacing w:after="0"/>
              <w:rPr>
                <w:sz w:val="20"/>
                <w:szCs w:val="20"/>
                <w:color w:val="auto"/>
              </w:rPr>
            </w:pPr>
            <w:r>
              <w:rPr>
                <w:rFonts w:ascii="Arial" w:cs="Arial" w:eastAsia="Arial" w:hAnsi="Arial"/>
                <w:sz w:val="18"/>
                <w:szCs w:val="18"/>
                <w:color w:val="auto"/>
              </w:rPr>
              <w:t>13,542</w:t>
            </w:r>
          </w:p>
        </w:tc>
        <w:tc>
          <w:tcPr>
            <w:tcW w:w="1400" w:type="dxa"/>
            <w:vAlign w:val="bottom"/>
            <w:gridSpan w:val="2"/>
          </w:tcPr>
          <w:p>
            <w:pPr>
              <w:jc w:val="right"/>
              <w:ind w:right="197"/>
              <w:spacing w:after="0"/>
              <w:rPr>
                <w:sz w:val="20"/>
                <w:szCs w:val="20"/>
                <w:color w:val="auto"/>
              </w:rPr>
            </w:pPr>
            <w:r>
              <w:rPr>
                <w:rFonts w:ascii="Arial" w:cs="Arial" w:eastAsia="Arial" w:hAnsi="Arial"/>
                <w:sz w:val="18"/>
                <w:szCs w:val="18"/>
                <w:color w:val="auto"/>
              </w:rPr>
              <w:t>$112.66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2/15/2017</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60" w:type="dxa"/>
            <w:vAlign w:val="bottom"/>
            <w:gridSpan w:val="2"/>
          </w:tcPr>
          <w:p>
            <w:pPr>
              <w:jc w:val="right"/>
              <w:ind w:right="118"/>
              <w:spacing w:after="0"/>
              <w:rPr>
                <w:sz w:val="20"/>
                <w:szCs w:val="20"/>
                <w:color w:val="auto"/>
              </w:rPr>
            </w:pPr>
            <w:r>
              <w:rPr>
                <w:rFonts w:ascii="Arial" w:cs="Arial" w:eastAsia="Arial" w:hAnsi="Arial"/>
                <w:sz w:val="18"/>
                <w:szCs w:val="18"/>
                <w:color w:val="auto"/>
              </w:rPr>
              <w:t>8,333</w:t>
            </w:r>
          </w:p>
        </w:tc>
        <w:tc>
          <w:tcPr>
            <w:tcW w:w="1400" w:type="dxa"/>
            <w:vAlign w:val="bottom"/>
          </w:tcPr>
          <w:p>
            <w:pPr>
              <w:jc w:val="right"/>
              <w:spacing w:after="0"/>
              <w:rPr>
                <w:sz w:val="20"/>
                <w:szCs w:val="20"/>
                <w:color w:val="auto"/>
              </w:rPr>
            </w:pPr>
            <w:r>
              <w:rPr>
                <w:rFonts w:ascii="Arial" w:cs="Arial" w:eastAsia="Arial" w:hAnsi="Arial"/>
                <w:sz w:val="18"/>
                <w:szCs w:val="18"/>
                <w:color w:val="auto"/>
              </w:rPr>
              <w:t>31,667</w:t>
            </w:r>
          </w:p>
        </w:tc>
        <w:tc>
          <w:tcPr>
            <w:tcW w:w="1400" w:type="dxa"/>
            <w:vAlign w:val="bottom"/>
            <w:gridSpan w:val="2"/>
          </w:tcPr>
          <w:p>
            <w:pPr>
              <w:jc w:val="right"/>
              <w:ind w:right="197"/>
              <w:spacing w:after="0"/>
              <w:rPr>
                <w:sz w:val="20"/>
                <w:szCs w:val="20"/>
                <w:color w:val="auto"/>
              </w:rPr>
            </w:pPr>
            <w:r>
              <w:rPr>
                <w:rFonts w:ascii="Arial" w:cs="Arial" w:eastAsia="Arial" w:hAnsi="Arial"/>
                <w:sz w:val="18"/>
                <w:szCs w:val="18"/>
                <w:color w:val="auto"/>
              </w:rPr>
              <w:t>$303.27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2/15/2018</w:t>
            </w:r>
          </w:p>
        </w:tc>
      </w:tr>
      <w:tr>
        <w:trPr>
          <w:trHeight w:val="211"/>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J. Meltzer</w:t>
            </w:r>
          </w:p>
        </w:tc>
        <w:tc>
          <w:tcPr>
            <w:tcW w:w="1660" w:type="dxa"/>
            <w:vAlign w:val="bottom"/>
            <w:tcBorders>
              <w:top w:val="single" w:sz="8" w:color="auto"/>
            </w:tcBorders>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8,125</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21,875</w:t>
            </w:r>
          </w:p>
        </w:tc>
        <w:tc>
          <w:tcPr>
            <w:tcW w:w="1400" w:type="dxa"/>
            <w:vAlign w:val="bottom"/>
            <w:tcBorders>
              <w:top w:val="single" w:sz="8" w:color="auto"/>
            </w:tcBorders>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$309.46</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5,208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1400" w:type="dxa"/>
            <w:vAlign w:val="bottom"/>
            <w:tcBorders>
              <w:bottom w:val="single" w:sz="8" w:color="auto"/>
            </w:tcBorders>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$303.27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2/15/2018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4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Under our Stock Option Plans, all these options vest 12.5% upon completion of 6 months of service following the date of grant and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48</w:t>
      </w:r>
      <w:r>
        <w:rPr>
          <w:rFonts w:ascii="Arial" w:cs="Arial" w:eastAsia="Arial" w:hAnsi="Arial"/>
          <w:sz w:val="18"/>
          <w:szCs w:val="18"/>
          <w:color w:val="auto"/>
        </w:rPr>
        <w:t xml:space="preserve"> per month thereafter, contingent upon continued employment. All of these grants are vesting at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48</w:t>
      </w:r>
      <w:r>
        <w:rPr>
          <w:rFonts w:ascii="Arial" w:cs="Arial" w:eastAsia="Arial" w:hAnsi="Arial"/>
          <w:sz w:val="18"/>
          <w:szCs w:val="18"/>
          <w:color w:val="auto"/>
        </w:rPr>
        <w:t xml:space="preserve"> per month. Options have a ten-year term, and grant date is ten years preceding the expiration date shown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During Fiscal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options exercised during the year ended December 31, 2008 and the value realized upon exercise: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3"/>
          </w:tcPr>
          <w:p>
            <w:pPr>
              <w:ind w:left="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Upon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Acquired on Exercise</w:t>
            </w:r>
          </w:p>
        </w:tc>
        <w:tc>
          <w:tcPr>
            <w:tcW w:w="108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Exercise ($)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M. Smith</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44,706</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10,335,341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Marshall L. Mohr</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1,252,783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S. Guthart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26,000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6,074,781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Jerome J. McNamara</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17,500</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4,088,930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realized equals the excess of the fair market value of our common stock on the exercise date over the option exercise price, multiplied by the number of shares for which the option was exercised.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2008, the Compensation Committee consisted of Alan J. Levy, Ph.D., Eric H. Halvorson and Keith Grossman, none of whom is a present or former officer or employee of our company. In addition, during 2008, none of our officers had an “interlock” relationship, as that term is defined by the SEC, to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1, 2008, the Board of Directors approved and adopted the Company’s Severance Plan (the “Severance Plan”) under which all eligible employees of the Company who have been employed by the Company at least six months prior to the separation from service date, including executive officers, are entitled to severance benefits in the event of an involuntary separation from service within 12 months after a change in control of the Company. Under the terms of the Severance Plan, eligible employees would be entitled to receive, upon a qualified involuntary termination within 12 months after a change in control of the Company:</w:t>
      </w:r>
    </w:p>
    <w:p>
      <w:pPr>
        <w:spacing w:after="0" w:line="62" w:lineRule="exact"/>
        <w:rPr>
          <w:sz w:val="20"/>
          <w:szCs w:val="20"/>
          <w:color w:val="auto"/>
        </w:rPr>
      </w:pPr>
    </w:p>
    <w:p>
      <w:pPr>
        <w:ind w:left="900" w:right="14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lump sum cash payment in the amount equal to the sum of six months of such eligible employee’s base compensation (defined in the Severance Plan as base salary and target bonus) plus an additional one month of base compensation for every year of such eligible employee’s service with the Company, such severance not to exceed 12 months;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six months of COBRA premiums, provided that such eligible employee elects continued coverage under COBRA;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 vesting of all outstanding unvested equity awards that the eligible employee then holds.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table below shows potential payments to the NEOs upon termination without cause upon change of control of Intuitive. The amounts shown assume that termination was effective December 31, 2008, the last business day of the year, under severance plans that were effective as of such date and are estimates of the amounts that would be paid to the executives upon termination in addition to the base salary and bonus earned during 2008. The actual amounts can be determined only at the actual time of an executive’s termination.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Total Spread Value</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Base Compensation</w:t>
            </w:r>
          </w:p>
        </w:tc>
        <w:tc>
          <w:tcPr>
            <w:tcW w:w="9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COBRA Premiums</w:t>
            </w:r>
          </w:p>
        </w:tc>
        <w:tc>
          <w:tcPr>
            <w:tcW w:w="90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Acceleration (1)</w:t>
            </w: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Total Potential Payment</w:t>
            </w:r>
          </w:p>
        </w:tc>
      </w:tr>
      <w:tr>
        <w:trPr>
          <w:trHeight w:val="161"/>
        </w:trPr>
        <w:tc>
          <w:tcPr>
            <w:tcW w:w="138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260" w:type="dxa"/>
            <w:vAlign w:val="bottom"/>
          </w:tcPr>
          <w:p>
            <w:pPr>
              <w:spacing w:after="0"/>
              <w:rPr>
                <w:sz w:val="14"/>
                <w:szCs w:val="14"/>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Pr>
          <w:p>
            <w:pPr>
              <w:spacing w:after="0"/>
              <w:rPr>
                <w:sz w:val="14"/>
                <w:szCs w:val="14"/>
                <w:color w:val="auto"/>
              </w:rPr>
            </w:pPr>
          </w:p>
        </w:tc>
        <w:tc>
          <w:tcPr>
            <w:tcW w:w="14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r>
      <w:tr>
        <w:trPr>
          <w:trHeight w:val="21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M. Smith</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813,920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28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1,112,885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1,932,819</w:t>
            </w:r>
          </w:p>
        </w:tc>
        <w:tc>
          <w:tcPr>
            <w:tcW w:w="20" w:type="dxa"/>
            <w:vAlign w:val="bottom"/>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Marshall L. Mohr</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357,334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8,813</w:t>
            </w:r>
          </w:p>
        </w:tc>
        <w:tc>
          <w:tcPr>
            <w:tcW w:w="2880" w:type="dxa"/>
            <w:vAlign w:val="bottom"/>
            <w:gridSpan w:val="3"/>
          </w:tcPr>
          <w:p>
            <w:pPr>
              <w:jc w:val="right"/>
              <w:ind w:right="880"/>
              <w:spacing w:after="0"/>
              <w:rPr>
                <w:sz w:val="20"/>
                <w:szCs w:val="20"/>
                <w:color w:val="auto"/>
              </w:rPr>
            </w:pPr>
            <w:r>
              <w:rPr>
                <w:rFonts w:ascii="Arial" w:cs="Arial" w:eastAsia="Arial" w:hAnsi="Arial"/>
                <w:sz w:val="18"/>
                <w:szCs w:val="18"/>
                <w:color w:val="auto"/>
              </w:rPr>
              <w:t>602,424</w:t>
            </w:r>
          </w:p>
        </w:tc>
        <w:tc>
          <w:tcPr>
            <w:tcW w:w="1400" w:type="dxa"/>
            <w:vAlign w:val="bottom"/>
          </w:tcPr>
          <w:p>
            <w:pPr>
              <w:jc w:val="right"/>
              <w:spacing w:after="0"/>
              <w:rPr>
                <w:sz w:val="20"/>
                <w:szCs w:val="20"/>
                <w:color w:val="auto"/>
              </w:rPr>
            </w:pPr>
            <w:r>
              <w:rPr>
                <w:rFonts w:ascii="Arial" w:cs="Arial" w:eastAsia="Arial" w:hAnsi="Arial"/>
                <w:sz w:val="18"/>
                <w:szCs w:val="18"/>
                <w:color w:val="auto"/>
              </w:rPr>
              <w:t>968,571</w:t>
            </w:r>
          </w:p>
        </w:tc>
        <w:tc>
          <w:tcPr>
            <w:tcW w:w="20" w:type="dxa"/>
            <w:vAlign w:val="bottom"/>
          </w:tcPr>
          <w:p>
            <w:pPr>
              <w:spacing w:after="0"/>
              <w:rPr>
                <w:sz w:val="18"/>
                <w:szCs w:val="18"/>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S. Guthart</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28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683,075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1,336,888</w:t>
            </w:r>
          </w:p>
        </w:tc>
        <w:tc>
          <w:tcPr>
            <w:tcW w:w="20" w:type="dxa"/>
            <w:vAlign w:val="bottom"/>
          </w:tcPr>
          <w:p>
            <w:pPr>
              <w:spacing w:after="0"/>
              <w:rPr>
                <w:sz w:val="18"/>
                <w:szCs w:val="18"/>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9"/>
              </w:rPr>
              <w:t>Jerome J. McNamara</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746,551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8,507</w:t>
            </w:r>
          </w:p>
        </w:tc>
        <w:tc>
          <w:tcPr>
            <w:tcW w:w="2880" w:type="dxa"/>
            <w:vAlign w:val="bottom"/>
            <w:gridSpan w:val="3"/>
          </w:tcPr>
          <w:p>
            <w:pPr>
              <w:jc w:val="right"/>
              <w:ind w:right="880"/>
              <w:spacing w:after="0"/>
              <w:rPr>
                <w:sz w:val="20"/>
                <w:szCs w:val="20"/>
                <w:color w:val="auto"/>
              </w:rPr>
            </w:pPr>
            <w:r>
              <w:rPr>
                <w:rFonts w:ascii="Arial" w:cs="Arial" w:eastAsia="Arial" w:hAnsi="Arial"/>
                <w:sz w:val="18"/>
                <w:szCs w:val="18"/>
                <w:color w:val="auto"/>
              </w:rPr>
              <w:t>440,997</w:t>
            </w:r>
          </w:p>
        </w:tc>
        <w:tc>
          <w:tcPr>
            <w:tcW w:w="1400" w:type="dxa"/>
            <w:vAlign w:val="bottom"/>
          </w:tcPr>
          <w:p>
            <w:pPr>
              <w:jc w:val="right"/>
              <w:spacing w:after="0"/>
              <w:rPr>
                <w:sz w:val="20"/>
                <w:szCs w:val="20"/>
                <w:color w:val="auto"/>
              </w:rPr>
            </w:pPr>
            <w:r>
              <w:rPr>
                <w:rFonts w:ascii="Arial" w:cs="Arial" w:eastAsia="Arial" w:hAnsi="Arial"/>
                <w:sz w:val="18"/>
                <w:szCs w:val="18"/>
                <w:color w:val="auto"/>
              </w:rPr>
              <w:t>1,196,055</w:t>
            </w:r>
          </w:p>
        </w:tc>
        <w:tc>
          <w:tcPr>
            <w:tcW w:w="20" w:type="dxa"/>
            <w:vAlign w:val="bottom"/>
          </w:tcPr>
          <w:p>
            <w:pPr>
              <w:spacing w:after="0"/>
              <w:rPr>
                <w:sz w:val="18"/>
                <w:szCs w:val="18"/>
                <w:color w:val="auto"/>
              </w:rPr>
            </w:pPr>
          </w:p>
        </w:tc>
      </w:tr>
      <w:tr>
        <w:trPr>
          <w:trHeight w:val="21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J. Meltzer</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319,583</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9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328,163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Value computed for each stock option grant in-the-money multiplied by (i) the difference between (a) $126.99, the closing market price of a share of our common stock on December 31, 2008, the last business day of our fiscal year and (b) the exercise price per share for that option grant by (ii) the number of shares subject to accelerated vesting.</w:t>
      </w:r>
    </w:p>
    <w:p>
      <w:pPr>
        <w:spacing w:after="0" w:line="256"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information in the following table sets forth the ownership of our common stock, as of December 31, 2008, by: (i) each of the executive officers and individuals named in the Summary Compensation Table; (ii) each of our directors; and (iii) all such executive officers and directors as a group.</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Beneficial ownership is determined in accordance with the rules of the Securities and Exchange Commission and generally includes voting or investment power with respect to securities. For the purposes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calculating the percent ownership, as of December 31, 2008, approximately 39,185,000 shares were issued and outstanding, and, for any individual who beneficially owns shares represented by options exercisable within 60 days of December 31, 2008, these shares are treated as if outstanding for that person, but not for any other person.</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table indicates those owners and their total number of beneficially owned shares, including shares subject to options exercisable within 60 days of December 31, 2008; however, unless otherwise indicated, these shares do not include any options awarded after December 31, 2008: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Beneficial Ownership</w:t>
            </w:r>
          </w:p>
        </w:tc>
      </w:tr>
      <w:tr>
        <w:trPr>
          <w:trHeight w:val="129"/>
        </w:trPr>
        <w:tc>
          <w:tcPr>
            <w:tcW w:w="3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600" w:type="dxa"/>
            <w:vAlign w:val="bottom"/>
            <w:tcBorders>
              <w:top w:val="single" w:sz="8" w:color="auto"/>
            </w:tcBorders>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91"/>
              </w:rPr>
              <w:t>Number of</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Percent of</w:t>
            </w:r>
          </w:p>
        </w:tc>
        <w:tc>
          <w:tcPr>
            <w:tcW w:w="140" w:type="dxa"/>
            <w:vAlign w:val="bottom"/>
          </w:tcPr>
          <w:p>
            <w:pPr>
              <w:spacing w:after="0"/>
              <w:rPr>
                <w:sz w:val="11"/>
                <w:szCs w:val="11"/>
                <w:color w:val="auto"/>
              </w:rPr>
            </w:pPr>
          </w:p>
        </w:tc>
      </w:tr>
      <w:tr>
        <w:trPr>
          <w:trHeight w:val="161"/>
        </w:trPr>
        <w:tc>
          <w:tcPr>
            <w:tcW w:w="3700" w:type="dxa"/>
            <w:vAlign w:val="bottom"/>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Beneficial Owner</w:t>
            </w:r>
          </w:p>
        </w:tc>
        <w:tc>
          <w:tcPr>
            <w:tcW w:w="4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900" w:type="dxa"/>
            <w:vAlign w:val="bottom"/>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Capital Management, LLC</w:t>
            </w:r>
          </w:p>
        </w:tc>
        <w:tc>
          <w:tcPr>
            <w:tcW w:w="59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2,670,580(1)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Sands Capital Management, LLC</w:t>
            </w:r>
          </w:p>
        </w:tc>
        <w:tc>
          <w:tcPr>
            <w:tcW w:w="5920" w:type="dxa"/>
            <w:vAlign w:val="bottom"/>
            <w:gridSpan w:val="3"/>
          </w:tcPr>
          <w:p>
            <w:pPr>
              <w:jc w:val="right"/>
              <w:ind w:right="700"/>
              <w:spacing w:after="0"/>
              <w:rPr>
                <w:sz w:val="20"/>
                <w:szCs w:val="20"/>
                <w:color w:val="auto"/>
              </w:rPr>
            </w:pPr>
            <w:r>
              <w:rPr>
                <w:rFonts w:ascii="Arial" w:cs="Arial" w:eastAsia="Arial" w:hAnsi="Arial"/>
                <w:sz w:val="18"/>
                <w:szCs w:val="18"/>
                <w:color w:val="auto"/>
              </w:rPr>
              <w:t>2,516,399(2)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Lonnie M. Smith</w:t>
            </w:r>
          </w:p>
        </w:tc>
        <w:tc>
          <w:tcPr>
            <w:tcW w:w="59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675,175(3)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Robert W. Duggan</w:t>
            </w:r>
          </w:p>
        </w:tc>
        <w:tc>
          <w:tcPr>
            <w:tcW w:w="5920" w:type="dxa"/>
            <w:vAlign w:val="bottom"/>
            <w:gridSpan w:val="3"/>
          </w:tcPr>
          <w:p>
            <w:pPr>
              <w:jc w:val="right"/>
              <w:ind w:right="700"/>
              <w:spacing w:after="0"/>
              <w:rPr>
                <w:sz w:val="20"/>
                <w:szCs w:val="20"/>
                <w:color w:val="auto"/>
              </w:rPr>
            </w:pPr>
            <w:r>
              <w:rPr>
                <w:rFonts w:ascii="Arial" w:cs="Arial" w:eastAsia="Arial" w:hAnsi="Arial"/>
                <w:sz w:val="18"/>
                <w:szCs w:val="18"/>
                <w:color w:val="auto"/>
              </w:rPr>
              <w:t>165,302(4)</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S. Guthart, Ph.D.</w:t>
            </w:r>
          </w:p>
        </w:tc>
        <w:tc>
          <w:tcPr>
            <w:tcW w:w="59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128,896(5)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Marshall L. Mohr</w:t>
            </w:r>
          </w:p>
        </w:tc>
        <w:tc>
          <w:tcPr>
            <w:tcW w:w="5920" w:type="dxa"/>
            <w:vAlign w:val="bottom"/>
            <w:gridSpan w:val="3"/>
          </w:tcPr>
          <w:p>
            <w:pPr>
              <w:jc w:val="right"/>
              <w:ind w:right="700"/>
              <w:spacing w:after="0"/>
              <w:rPr>
                <w:sz w:val="20"/>
                <w:szCs w:val="20"/>
                <w:color w:val="auto"/>
              </w:rPr>
            </w:pPr>
            <w:r>
              <w:rPr>
                <w:rFonts w:ascii="Arial" w:cs="Arial" w:eastAsia="Arial" w:hAnsi="Arial"/>
                <w:sz w:val="18"/>
                <w:szCs w:val="18"/>
                <w:color w:val="auto"/>
              </w:rPr>
              <w:t>39,232(6)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Floyd D. Loop, M.D</w:t>
            </w:r>
          </w:p>
        </w:tc>
        <w:tc>
          <w:tcPr>
            <w:tcW w:w="59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25,000(7)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Jerome J. McNamara</w:t>
            </w:r>
          </w:p>
        </w:tc>
        <w:tc>
          <w:tcPr>
            <w:tcW w:w="5920" w:type="dxa"/>
            <w:vAlign w:val="bottom"/>
            <w:gridSpan w:val="3"/>
          </w:tcPr>
          <w:p>
            <w:pPr>
              <w:jc w:val="right"/>
              <w:ind w:right="700"/>
              <w:spacing w:after="0"/>
              <w:rPr>
                <w:sz w:val="20"/>
                <w:szCs w:val="20"/>
                <w:color w:val="auto"/>
              </w:rPr>
            </w:pPr>
            <w:r>
              <w:rPr>
                <w:rFonts w:ascii="Arial" w:cs="Arial" w:eastAsia="Arial" w:hAnsi="Arial"/>
                <w:sz w:val="18"/>
                <w:szCs w:val="18"/>
                <w:color w:val="auto"/>
              </w:rPr>
              <w:t>23,808(8)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J. Levy, Ph.D.</w:t>
            </w:r>
          </w:p>
        </w:tc>
        <w:tc>
          <w:tcPr>
            <w:tcW w:w="59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19,713(9)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Mark J. Meltzer</w:t>
            </w:r>
          </w:p>
        </w:tc>
        <w:tc>
          <w:tcPr>
            <w:tcW w:w="5920" w:type="dxa"/>
            <w:vAlign w:val="bottom"/>
            <w:gridSpan w:val="3"/>
          </w:tcPr>
          <w:p>
            <w:pPr>
              <w:jc w:val="right"/>
              <w:ind w:right="620"/>
              <w:spacing w:after="0"/>
              <w:rPr>
                <w:sz w:val="20"/>
                <w:szCs w:val="20"/>
                <w:color w:val="auto"/>
              </w:rPr>
            </w:pPr>
            <w:r>
              <w:rPr>
                <w:rFonts w:ascii="Arial" w:cs="Arial" w:eastAsia="Arial" w:hAnsi="Arial"/>
                <w:sz w:val="18"/>
                <w:szCs w:val="18"/>
                <w:color w:val="auto"/>
              </w:rPr>
              <w:t>15,625(10)</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Kramer</w:t>
            </w:r>
          </w:p>
        </w:tc>
        <w:tc>
          <w:tcPr>
            <w:tcW w:w="5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10,000(11)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D. Keith Grossman</w:t>
            </w:r>
          </w:p>
        </w:tc>
        <w:tc>
          <w:tcPr>
            <w:tcW w:w="5920" w:type="dxa"/>
            <w:vAlign w:val="bottom"/>
            <w:gridSpan w:val="3"/>
          </w:tcPr>
          <w:p>
            <w:pPr>
              <w:jc w:val="right"/>
              <w:ind w:right="620"/>
              <w:spacing w:after="0"/>
              <w:rPr>
                <w:sz w:val="20"/>
                <w:szCs w:val="20"/>
                <w:color w:val="auto"/>
              </w:rPr>
            </w:pPr>
            <w:r>
              <w:rPr>
                <w:rFonts w:ascii="Arial" w:cs="Arial" w:eastAsia="Arial" w:hAnsi="Arial"/>
                <w:sz w:val="18"/>
                <w:szCs w:val="18"/>
                <w:color w:val="auto"/>
              </w:rPr>
              <w:t>7,500(12)</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J. Rubash</w:t>
            </w:r>
          </w:p>
        </w:tc>
        <w:tc>
          <w:tcPr>
            <w:tcW w:w="5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6,676(13)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George J. Stalk</w:t>
            </w:r>
          </w:p>
        </w:tc>
        <w:tc>
          <w:tcPr>
            <w:tcW w:w="5920" w:type="dxa"/>
            <w:vAlign w:val="bottom"/>
            <w:gridSpan w:val="3"/>
          </w:tcPr>
          <w:p>
            <w:pPr>
              <w:jc w:val="right"/>
              <w:ind w:right="620"/>
              <w:spacing w:after="0"/>
              <w:rPr>
                <w:sz w:val="20"/>
                <w:szCs w:val="20"/>
                <w:color w:val="auto"/>
              </w:rPr>
            </w:pPr>
            <w:r>
              <w:rPr>
                <w:rFonts w:ascii="Arial" w:cs="Arial" w:eastAsia="Arial" w:hAnsi="Arial"/>
                <w:sz w:val="18"/>
                <w:szCs w:val="18"/>
                <w:color w:val="auto"/>
              </w:rPr>
              <w:t>6,666(13)</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H. Halvorson</w:t>
            </w:r>
          </w:p>
        </w:tc>
        <w:tc>
          <w:tcPr>
            <w:tcW w:w="59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6,071(14)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476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(13 persons)</w:t>
            </w:r>
          </w:p>
        </w:tc>
        <w:tc>
          <w:tcPr>
            <w:tcW w:w="5920" w:type="dxa"/>
            <w:vAlign w:val="bottom"/>
            <w:gridSpan w:val="3"/>
          </w:tcPr>
          <w:p>
            <w:pPr>
              <w:jc w:val="right"/>
              <w:ind w:right="620"/>
              <w:spacing w:after="0"/>
              <w:rPr>
                <w:sz w:val="20"/>
                <w:szCs w:val="20"/>
                <w:color w:val="auto"/>
              </w:rPr>
            </w:pPr>
            <w:r>
              <w:rPr>
                <w:rFonts w:ascii="Arial" w:cs="Arial" w:eastAsia="Arial" w:hAnsi="Arial"/>
                <w:sz w:val="18"/>
                <w:szCs w:val="18"/>
                <w:color w:val="auto"/>
              </w:rPr>
              <w:t>1,129,664(15)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08"/>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less than 1% of the issued and outstanding shares.</w:t>
      </w:r>
    </w:p>
    <w:p>
      <w:pPr>
        <w:spacing w:after="0" w:line="15" w:lineRule="exact"/>
        <w:rPr>
          <w:sz w:val="20"/>
          <w:szCs w:val="20"/>
          <w:color w:val="auto"/>
        </w:rPr>
      </w:pPr>
    </w:p>
    <w:p>
      <w:pPr>
        <w:ind w:left="460" w:hanging="452"/>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information provided by Janus Capital Management LLC (“Janus Capital”), 151 Detroit Street, Denver, CO 80206 and investment advisor and parent holding company, in a Schedule 13G filed with the SEC on February 14, 2008 reporting beneficial ownership of Intuitive Surgical’s stock as of December 31, 2008. According to such Schedule 13G: (a) Janus Capital holds such shares in its capacity as investment advisor or sub-advisor; (b) Janus Capital holds 2,494,374 shares directly and 176,206 shares indirectly through its 86.5% ownership of Enhanced Investment Technologies LLC (“INTECH”); (c) Janus Capital has sole power to vote or direct the vote and sole power to dispose or direct the disposition with respect to 2,494,374 shares; and (d) Janus Capital has shared power with INTECH to vote or direct the vote and to dispose or direct the disposition with respect to 176,206 shares.</w:t>
      </w:r>
    </w:p>
    <w:p>
      <w:pPr>
        <w:spacing w:after="0" w:line="4"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information provided by Sands Capital Management, LLC (“Sands Capital”) 1101 Wilson Blvd. Suite 2300 Arlington, VA 22209, in a Schedule 13G filed with the SEC on February 14, 2008 reporting beneficial ownership of Intuitive Surgical’s stock as of December 31, 2008. According to such Schedule 13G, Sands Capital is an investment advisor and has sole power to vote or direct the vote with respect to 1,486,965 shares and sole power to dispose or direct the disposition with respect to 2,516,399 shares.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259,794 shares issuable pursuant to options exercisable within 60 days of December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17,500 shares issuable pursuant to options exercisable within 60 days of December 31, 2008 and 7,825 shares managed for individual investors.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112,498 shares issuable pursuant to options exercisable within 60 days of December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38,708 shares issuable pursuant to options exercisable within 60 days of December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25,000 shares issuable pursuant to options exercisable within 60 days of December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22,083 shares issuable pursuant to options exercisable within 60 days of December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17,500 shares issuable pursuant to options exercisable within 60 days of December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15,625 shares issuable pursuant to options exercisable within 60 days of December 31,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10,000 shares issuable pursuant to options exercisable within 60 days of December 31,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7,500 shares issuable pursuant to options exercisable within 60 days of December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6,666 shares issuable pursuant to options exercisable within 60 days of December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3,500 shares issuable pursuant to options exercisable within 60 days of December 31,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543,040 shares issuable pursuant to options exercisable within 60 days of December 31,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contains information as of December 31, 2008 for two categories of equity compensation plans. All of the equity compensation plans of the Company have been approved by security 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480" w:type="dxa"/>
            <w:vAlign w:val="bottom"/>
          </w:tcPr>
          <w:p>
            <w:pPr>
              <w:spacing w:after="0"/>
              <w:rPr>
                <w:sz w:val="12"/>
                <w:szCs w:val="12"/>
                <w:color w:val="auto"/>
              </w:rPr>
            </w:pPr>
          </w:p>
        </w:tc>
        <w:tc>
          <w:tcPr>
            <w:tcW w:w="210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and rights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Plan Category</w:t>
            </w:r>
          </w:p>
        </w:tc>
        <w:tc>
          <w:tcPr>
            <w:tcW w:w="29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outstanding options</w:t>
            </w:r>
          </w:p>
        </w:tc>
        <w:tc>
          <w:tcPr>
            <w:tcW w:w="9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3,749,285</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9,182,209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3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3,749,285</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9,182,209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In July 2008, the Company entered into a Consulting Agreement with Boston Consulting Group (BCG) for certain services. Under this agreement, the Company agreed to pay approximately $0.9 million, of which approximately $80,000 remains unpaid as of December 31, 2008, for consulting fees as well as reimbursement of reasonable incidental and travel expenses. The expense has been recorded under selling, general and administrative for the year ended December 31, 2008. George Stalk Jr., one of the Company’s Board of Directors, was a senior partner at BCG in their Toronto Office, during the year ended December 31, 2008. Currently, Mr. Stalk is an advisor for the BCG.</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has determined that the following directors are “independent” under current Nasdaq rules: Alan J. Levy, Eric H. Halvorson, D. Keith Grossman, Robert W. Duggan, Floyd D. Loop, George Stalk Jr., Richard J. Kramer and Mark J. Rubash.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auditors for the year ended December 31, 2008 were Ernst &amp; Young LLP. We expect that Ernst &amp; Young LLP will serve as our auditors for fiscal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 All of the services described in the following fee table were approved by the Audit Committee.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1,646,000</w:t>
            </w:r>
          </w:p>
        </w:tc>
        <w:tc>
          <w:tcPr>
            <w:tcW w:w="6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1,535,000</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Tax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170,000</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1,659,500</w:t>
            </w:r>
          </w:p>
        </w:tc>
        <w:tc>
          <w:tcPr>
            <w:tcW w:w="420" w:type="dxa"/>
            <w:vAlign w:val="bottom"/>
          </w:tcPr>
          <w:p>
            <w:pPr>
              <w:spacing w:after="0"/>
              <w:rPr>
                <w:sz w:val="19"/>
                <w:szCs w:val="19"/>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1,706,500</w:t>
            </w:r>
          </w:p>
        </w:tc>
        <w:tc>
          <w:tcPr>
            <w:tcW w:w="2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This category includes the audit of our annual financial statements, the audit of our internal control over financial reporting, review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our Form 10-Q quarterly reports, and services that are normally provided by the independent registered public accounting firm in connection with statutory audit and regulatory filings, for those fiscal years. This category also includes advice on accounting matters that arose during, or as a result of, the audit or the review of interim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This category consists of services provided by Ernst &amp; Young for tax compliance, tax advice, and tax planning.</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all other services provide by Ernst &amp; Young that are not reported above. The services for the disclosed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category include an annual subscription fee to Ernst &amp; Young for accounting literature.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audit services, audit-related services, tax services and other services were pre-approved by our Audit Committee, which concluded that the provision of such services by Ernst &amp; Young LLP was compatible with the maintenance of that firm’s independence in the conduct of its auditing functions. The Audit Committee’s pre-approval policy provides for the pre-approval of audit, audit-related, tax, and other services specifically described by the committee on an annual basis, and unless a type of service is pre-approved under the policy, it will require separate pre-approval by the committee if it is to be provided by the independent auditor. The policy authorizes the committee to delegate to one or more of its members pre-approval authority with respect to permitted services.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 xml:space="preserve">Our Audit Committee is composed of “independent” directors, as determined in accordance with Rule 4200(a)(15) of the Nasdaq Stock Market’s regulations and Rule 10A-3 of the Securities Exchange Act of 1934. The Audit Committee operated pursuant to a written charter adopted by the Board of Directors, a copy of which was attached as </w:t>
      </w:r>
      <w:r>
        <w:rPr>
          <w:rFonts w:ascii="Arial" w:cs="Arial" w:eastAsia="Arial" w:hAnsi="Arial"/>
          <w:sz w:val="16"/>
          <w:szCs w:val="16"/>
          <w:i w:val="1"/>
          <w:iCs w:val="1"/>
          <w:color w:val="auto"/>
        </w:rPr>
        <w:t>Annex A</w:t>
      </w:r>
      <w:r>
        <w:rPr>
          <w:rFonts w:ascii="Arial" w:cs="Arial" w:eastAsia="Arial" w:hAnsi="Arial"/>
          <w:sz w:val="16"/>
          <w:szCs w:val="16"/>
          <w:color w:val="auto"/>
        </w:rPr>
        <w:t xml:space="preserve"> to the proxy statement for our 2008 annual meeting of stockholders.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described more fully in its charter, the purpose of the Audit Committee is to assist the Board of Directors with its oversight responsibilities regarding the integrity of our company’s financial statements, our compliance with legal and regulatory requirements, assessing the independent registered public accounting firm’s qualifications and independence and the performance of the persons performing internal audit duties for our company and the independent registered public accounting firm. Management is responsible for preparation, presentation and integrity of our financial statements as well as our financial reporting process, accounting policies, internal audit function, internal accounting controls and disclosure controls and procedures. The independent registered public accounting firm is responsible for performing an independent audit of our consolidated financial statements in accordance with generally accepted auditing standards and to issue a report thereon. The Audit Committee’s responsibility is to monitor and oversee these processes. The following is the Audit Committee’s report submitted to the Board of Directors for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has:</w:t>
      </w:r>
    </w:p>
    <w:p>
      <w:pPr>
        <w:spacing w:after="0" w:line="90"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reviewed and discussed our audited financial statements with management and Ernst &amp; Young LLP, the independent accountants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discussed with Ernst &amp; Young LLP the matters required to be discussed by Statement on Auditing Standards No. 61,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as may be modified or supplemented; and</w:t>
      </w:r>
    </w:p>
    <w:p>
      <w:pPr>
        <w:spacing w:after="0" w:line="5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received from Ernst &amp; Young LLP the written disclosures and the letter regarding their independence as required by </w:t>
      </w:r>
      <w:r>
        <w:rPr>
          <w:rFonts w:ascii="Arial" w:cs="Arial" w:eastAsia="Arial" w:hAnsi="Arial"/>
          <w:sz w:val="18"/>
          <w:szCs w:val="18"/>
          <w:i w:val="1"/>
          <w:iCs w:val="1"/>
          <w:color w:val="auto"/>
        </w:rPr>
        <w:t>PCAOB Rule 3526,</w:t>
      </w:r>
      <w:r>
        <w:rPr>
          <w:rFonts w:ascii="Arial" w:cs="Arial" w:eastAsia="Arial" w:hAnsi="Arial"/>
          <w:sz w:val="18"/>
          <w:szCs w:val="18"/>
          <w:color w:val="auto"/>
        </w:rPr>
        <w:t xml:space="preserve"> </w:t>
      </w:r>
      <w:r>
        <w:rPr>
          <w:rFonts w:ascii="Arial" w:cs="Arial" w:eastAsia="Arial" w:hAnsi="Arial"/>
          <w:sz w:val="18"/>
          <w:szCs w:val="18"/>
          <w:i w:val="1"/>
          <w:iCs w:val="1"/>
          <w:color w:val="auto"/>
        </w:rPr>
        <w:t>Communication with Audit Committees Concerning Independence</w:t>
      </w:r>
      <w:r>
        <w:rPr>
          <w:rFonts w:ascii="Arial" w:cs="Arial" w:eastAsia="Arial" w:hAnsi="Arial"/>
          <w:sz w:val="18"/>
          <w:szCs w:val="18"/>
          <w:color w:val="auto"/>
        </w:rPr>
        <w:t>, as may be modified or supplemented, and discussed the auditors’ independence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Audit Committee has met separately with management and with Ernst &amp; Young LLP.</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the audited financial statements be included in our Annual Report on Form 10-K for the year ended December 31, 2008 for filing with the Securities and Exchange Commission.</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3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J. Rubash, 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J. Kramer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Eric H. Halvorson</w:t>
      </w:r>
    </w:p>
    <w:p>
      <w:pPr>
        <w:spacing w:after="0" w:line="178"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i w:val="1"/>
          <w:i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w:t>
      </w:r>
    </w:p>
    <w:p>
      <w:pPr>
        <w:spacing w:after="0" w:line="9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Financial Statements—See Index to Consolidated Financial Statements at Item 8 of this Report on Form 10-K.</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following financial statement schedule of Intuitive Surgical, Inc. is filed as part of this Report and should be read in conjunction with the financial statements of Intuitive Surgical:</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Schedule II: Valuation and Qualifying Accounts.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 other schedules have been omitted because they are not applicable, not required under the instructions, or the information requested is set forth in the consolidated financial statements or related notes thereto.</w:t>
      </w:r>
    </w:p>
    <w:p>
      <w:pPr>
        <w:spacing w:after="0" w:line="51"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filed as part of this report are listed under “Exhibits” at subsection (b) of this Item 15.</w:t>
      </w:r>
    </w:p>
    <w:p>
      <w:pPr>
        <w:spacing w:after="0" w:line="9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56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bl>
    <w:p>
      <w:pPr>
        <w:ind w:left="180"/>
        <w:spacing w:after="0"/>
        <w:tabs>
          <w:tab w:leader="none" w:pos="11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5"/>
          <w:szCs w:val="15"/>
          <w:color w:val="auto"/>
        </w:rPr>
        <w:t>Amended and Restated Certificate of Incorporation of the Company.</w:t>
      </w:r>
    </w:p>
    <w:p>
      <w:pPr>
        <w:spacing w:after="0" w:line="109"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Certificate of Amendment to Amended and Restated Certificate of Incorporation of the Company.</w:t>
      </w:r>
    </w:p>
    <w:p>
      <w:pPr>
        <w:spacing w:after="0" w:line="117"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Bylaws of the Company.</w:t>
      </w:r>
    </w:p>
    <w:p>
      <w:pPr>
        <w:spacing w:after="0" w:line="117"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color w:val="auto"/>
        </w:rPr>
        <w:t>Specimen Stock Certificate.</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Indemnity Agreement.</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2000 Equity Incentive Plan.</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2000 Non-Employee Directors’ Stock Option Plan.</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5"/>
          <w:szCs w:val="15"/>
          <w:color w:val="auto"/>
        </w:rPr>
        <w:t>2000 Employee Stock Purchase Plan.</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5"/>
          <w:szCs w:val="15"/>
          <w:color w:val="auto"/>
        </w:rPr>
        <w:t>Amended and Restated Investor Rights Agreement dated March 31, 1999.</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5"/>
          <w:szCs w:val="15"/>
          <w:color w:val="auto"/>
        </w:rPr>
        <w:t>Severance Plan.</w:t>
      </w:r>
    </w:p>
    <w:p>
      <w:pPr>
        <w:spacing w:after="0" w:line="131"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5"/>
          <w:szCs w:val="15"/>
          <w:color w:val="auto"/>
        </w:rPr>
        <w:t>Code of Business Conduct and Ethics Policy.</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6"/>
          <w:szCs w:val="16"/>
          <w:color w:val="auto"/>
        </w:rPr>
        <w:t>Intuitive Surgical, Inc. subsidiaries.</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6"/>
          <w:szCs w:val="16"/>
          <w:color w:val="auto"/>
        </w:rPr>
        <w:t>Certification of Principal Executive Officer.</w:t>
      </w:r>
    </w:p>
    <w:p>
      <w:pPr>
        <w:spacing w:after="0" w:line="1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31.2(3)</w:t>
      </w:r>
      <w:r>
        <w:rPr>
          <w:sz w:val="20"/>
          <w:szCs w:val="20"/>
          <w:color w:val="auto"/>
        </w:rPr>
        <w:tab/>
      </w:r>
      <w:r>
        <w:rPr>
          <w:rFonts w:ascii="Arial" w:cs="Arial" w:eastAsia="Arial" w:hAnsi="Arial"/>
          <w:sz w:val="16"/>
          <w:szCs w:val="16"/>
          <w:color w:val="auto"/>
        </w:rPr>
        <w:t>Certification of Principal Financial Officer.</w:t>
      </w:r>
    </w:p>
    <w:p>
      <w:pPr>
        <w:spacing w:after="0" w:line="117" w:lineRule="exact"/>
        <w:rPr>
          <w:sz w:val="20"/>
          <w:szCs w:val="20"/>
          <w:color w:val="auto"/>
        </w:rPr>
      </w:pPr>
    </w:p>
    <w:p>
      <w:pPr>
        <w:ind w:left="1160" w:right="60" w:hanging="1059"/>
        <w:spacing w:after="0" w:line="268" w:lineRule="auto"/>
        <w:tabs>
          <w:tab w:leader="none" w:pos="1140" w:val="left"/>
        </w:tabs>
        <w:rPr>
          <w:sz w:val="20"/>
          <w:szCs w:val="20"/>
          <w:color w:val="auto"/>
        </w:rPr>
      </w:pPr>
      <w:r>
        <w:rPr>
          <w:rFonts w:ascii="Arial" w:cs="Arial" w:eastAsia="Arial" w:hAnsi="Arial"/>
          <w:sz w:val="18"/>
          <w:szCs w:val="18"/>
          <w:color w:val="auto"/>
        </w:rPr>
        <w:t>32.1(3)</w:t>
      </w:r>
      <w:r>
        <w:rPr>
          <w:sz w:val="20"/>
          <w:szCs w:val="20"/>
          <w:color w:val="auto"/>
        </w:rPr>
        <w:tab/>
      </w:r>
      <w:r>
        <w:rPr>
          <w:rFonts w:ascii="Arial" w:cs="Arial" w:eastAsia="Arial" w:hAnsi="Arial"/>
          <w:sz w:val="18"/>
          <w:szCs w:val="18"/>
          <w:color w:val="auto"/>
        </w:rPr>
        <w:t>Certification of Chief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exhibits filed with the Company’s Registration Statement on Form S-1 (333-33016).</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Exhibit 10.1 of the Company’s Current Report on Form 8-K filed December 2, 2008 (File No. 000-30713).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NTUITIVE</w:t>
      </w:r>
      <w:r>
        <w:rPr>
          <w:rFonts w:ascii="Arial" w:cs="Arial" w:eastAsia="Arial" w:hAnsi="Arial"/>
          <w:sz w:val="18"/>
          <w:szCs w:val="18"/>
          <w:color w:val="auto"/>
        </w:rPr>
        <w:t xml:space="preserve"> S</w:t>
      </w:r>
      <w:r>
        <w:rPr>
          <w:rFonts w:ascii="Arial" w:cs="Arial" w:eastAsia="Arial" w:hAnsi="Arial"/>
          <w:sz w:val="14"/>
          <w:szCs w:val="14"/>
          <w:color w:val="auto"/>
        </w:rPr>
        <w:t>URGICAL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L</w:t>
      </w:r>
      <w:r>
        <w:rPr>
          <w:rFonts w:ascii="Arial" w:cs="Arial" w:eastAsia="Arial" w:hAnsi="Arial"/>
          <w:sz w:val="14"/>
          <w:szCs w:val="14"/>
          <w:color w:val="auto"/>
        </w:rPr>
        <w:t>ONNIE</w:t>
      </w:r>
      <w:r>
        <w:rPr>
          <w:rFonts w:ascii="Arial" w:cs="Arial" w:eastAsia="Arial" w:hAnsi="Arial"/>
          <w:sz w:val="18"/>
          <w:szCs w:val="18"/>
          <w:color w:val="auto"/>
        </w:rPr>
        <w:t xml:space="preserve"> M. S</w:t>
      </w:r>
      <w:r>
        <w:rPr>
          <w:rFonts w:ascii="Arial" w:cs="Arial" w:eastAsia="Arial" w:hAnsi="Arial"/>
          <w:sz w:val="14"/>
          <w:szCs w:val="14"/>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Lonnie M. Smith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February 6, 2009</w:t>
      </w:r>
    </w:p>
    <w:p>
      <w:pPr>
        <w:spacing w:after="0" w:line="16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60" w:type="dxa"/>
            <w:vAlign w:val="bottom"/>
          </w:tcPr>
          <w:p>
            <w:pPr>
              <w:spacing w:after="0"/>
              <w:rPr>
                <w:sz w:val="14"/>
                <w:szCs w:val="14"/>
                <w:color w:val="auto"/>
              </w:rPr>
            </w:pPr>
          </w:p>
        </w:tc>
        <w:tc>
          <w:tcPr>
            <w:tcW w:w="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4"/>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4"/>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ONNIE</w:t>
            </w:r>
            <w:r>
              <w:rPr>
                <w:rFonts w:ascii="Arial" w:cs="Arial" w:eastAsia="Arial" w:hAnsi="Arial"/>
                <w:sz w:val="18"/>
                <w:szCs w:val="18"/>
                <w:color w:val="auto"/>
              </w:rPr>
              <w:t xml:space="preserve"> M. S</w:t>
            </w:r>
            <w:r>
              <w:rPr>
                <w:rFonts w:ascii="Arial" w:cs="Arial" w:eastAsia="Arial" w:hAnsi="Arial"/>
                <w:sz w:val="14"/>
                <w:szCs w:val="14"/>
                <w:color w:val="auto"/>
              </w:rPr>
              <w:t>MITH</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Chairman, Chief Executive Officer and Director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202"/>
        </w:trPr>
        <w:tc>
          <w:tcPr>
            <w:tcW w:w="1740" w:type="dxa"/>
            <w:vAlign w:val="bottom"/>
          </w:tcPr>
          <w:p>
            <w:pPr>
              <w:spacing w:after="0"/>
              <w:rPr>
                <w:sz w:val="17"/>
                <w:szCs w:val="17"/>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8"/>
              </w:rPr>
              <w:t>Lonnie M. Smith</w:t>
            </w:r>
          </w:p>
        </w:tc>
        <w:tc>
          <w:tcPr>
            <w:tcW w:w="42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26"/>
        </w:trPr>
        <w:tc>
          <w:tcPr>
            <w:tcW w:w="17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ARSHALL</w:t>
            </w:r>
            <w:r>
              <w:rPr>
                <w:rFonts w:ascii="Arial" w:cs="Arial" w:eastAsia="Arial" w:hAnsi="Arial"/>
                <w:sz w:val="18"/>
                <w:szCs w:val="18"/>
                <w:color w:val="auto"/>
              </w:rPr>
              <w:t xml:space="preserve"> L. M</w:t>
            </w:r>
            <w:r>
              <w:rPr>
                <w:rFonts w:ascii="Arial" w:cs="Arial" w:eastAsia="Arial" w:hAnsi="Arial"/>
                <w:sz w:val="14"/>
                <w:szCs w:val="14"/>
                <w:color w:val="auto"/>
              </w:rPr>
              <w:t>OHR</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202"/>
        </w:trPr>
        <w:tc>
          <w:tcPr>
            <w:tcW w:w="1740" w:type="dxa"/>
            <w:vAlign w:val="bottom"/>
          </w:tcPr>
          <w:p>
            <w:pPr>
              <w:spacing w:after="0"/>
              <w:rPr>
                <w:sz w:val="17"/>
                <w:szCs w:val="17"/>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3"/>
              </w:rPr>
              <w:t>Marshall L. Mohr</w:t>
            </w:r>
          </w:p>
        </w:tc>
        <w:tc>
          <w:tcPr>
            <w:tcW w:w="42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27"/>
        </w:trPr>
        <w:tc>
          <w:tcPr>
            <w:tcW w:w="5040" w:type="dxa"/>
            <w:vAlign w:val="bottom"/>
            <w:tcBorders>
              <w:bottom w:val="single" w:sz="8" w:color="auto"/>
            </w:tcBorders>
            <w:gridSpan w:val="4"/>
          </w:tcPr>
          <w:p>
            <w:pPr>
              <w:ind w:left="136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LOYD</w:t>
            </w:r>
            <w:r>
              <w:rPr>
                <w:rFonts w:ascii="Arial" w:cs="Arial" w:eastAsia="Arial" w:hAnsi="Arial"/>
                <w:sz w:val="18"/>
                <w:szCs w:val="18"/>
                <w:color w:val="auto"/>
              </w:rPr>
              <w:t xml:space="preserve"> D. L</w:t>
            </w:r>
            <w:r>
              <w:rPr>
                <w:rFonts w:ascii="Arial" w:cs="Arial" w:eastAsia="Arial" w:hAnsi="Arial"/>
                <w:sz w:val="14"/>
                <w:szCs w:val="14"/>
                <w:color w:val="auto"/>
              </w:rPr>
              <w:t>OOP</w:t>
            </w:r>
            <w:r>
              <w:rPr>
                <w:rFonts w:ascii="Arial" w:cs="Arial" w:eastAsia="Arial" w:hAnsi="Arial"/>
                <w:sz w:val="18"/>
                <w:szCs w:val="18"/>
                <w:color w:val="auto"/>
              </w:rPr>
              <w:t>, M.D.</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Floyd D. Loop, M.D.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9"/>
              </w:rPr>
              <w:t>D. K</w:t>
            </w:r>
            <w:r>
              <w:rPr>
                <w:rFonts w:ascii="Arial" w:cs="Arial" w:eastAsia="Arial" w:hAnsi="Arial"/>
                <w:sz w:val="14"/>
                <w:szCs w:val="14"/>
                <w:color w:val="auto"/>
                <w:w w:val="99"/>
              </w:rPr>
              <w:t>EITH</w:t>
            </w:r>
            <w:r>
              <w:rPr>
                <w:rFonts w:ascii="Arial" w:cs="Arial" w:eastAsia="Arial" w:hAnsi="Arial"/>
                <w:sz w:val="18"/>
                <w:szCs w:val="18"/>
                <w:color w:val="auto"/>
                <w:w w:val="99"/>
              </w:rPr>
              <w:t xml:space="preserve"> G</w:t>
            </w:r>
            <w:r>
              <w:rPr>
                <w:rFonts w:ascii="Arial" w:cs="Arial" w:eastAsia="Arial" w:hAnsi="Arial"/>
                <w:sz w:val="14"/>
                <w:szCs w:val="14"/>
                <w:color w:val="auto"/>
                <w:w w:val="99"/>
              </w:rPr>
              <w:t>ROSSMAN</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8"/>
              </w:rPr>
              <w:t>D. Keith Grossman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RIC</w:t>
            </w:r>
            <w:r>
              <w:rPr>
                <w:rFonts w:ascii="Arial" w:cs="Arial" w:eastAsia="Arial" w:hAnsi="Arial"/>
                <w:sz w:val="18"/>
                <w:szCs w:val="18"/>
                <w:color w:val="auto"/>
                <w:w w:val="98"/>
              </w:rPr>
              <w:t xml:space="preserve"> H. H</w:t>
            </w:r>
            <w:r>
              <w:rPr>
                <w:rFonts w:ascii="Arial" w:cs="Arial" w:eastAsia="Arial" w:hAnsi="Arial"/>
                <w:sz w:val="14"/>
                <w:szCs w:val="14"/>
                <w:color w:val="auto"/>
                <w:w w:val="98"/>
              </w:rPr>
              <w:t>ALVORSON</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9"/>
              </w:rPr>
              <w:t>Eric H. Halvorson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ICHARD</w:t>
            </w:r>
            <w:r>
              <w:rPr>
                <w:rFonts w:ascii="Arial" w:cs="Arial" w:eastAsia="Arial" w:hAnsi="Arial"/>
                <w:sz w:val="18"/>
                <w:szCs w:val="18"/>
                <w:color w:val="auto"/>
                <w:w w:val="99"/>
              </w:rPr>
              <w:t xml:space="preserve"> J. K</w:t>
            </w:r>
            <w:r>
              <w:rPr>
                <w:rFonts w:ascii="Arial" w:cs="Arial" w:eastAsia="Arial" w:hAnsi="Arial"/>
                <w:sz w:val="14"/>
                <w:szCs w:val="14"/>
                <w:color w:val="auto"/>
                <w:w w:val="99"/>
              </w:rPr>
              <w:t>RAMER</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2"/>
              </w:rPr>
              <w:t>Richard J. Kramer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LAN</w:t>
            </w:r>
            <w:r>
              <w:rPr>
                <w:rFonts w:ascii="Arial" w:cs="Arial" w:eastAsia="Arial" w:hAnsi="Arial"/>
                <w:sz w:val="18"/>
                <w:szCs w:val="18"/>
                <w:color w:val="auto"/>
                <w:w w:val="98"/>
              </w:rPr>
              <w:t xml:space="preserve"> J. L</w:t>
            </w:r>
            <w:r>
              <w:rPr>
                <w:rFonts w:ascii="Arial" w:cs="Arial" w:eastAsia="Arial" w:hAnsi="Arial"/>
                <w:sz w:val="14"/>
                <w:szCs w:val="14"/>
                <w:color w:val="auto"/>
                <w:w w:val="98"/>
              </w:rPr>
              <w:t>EVY</w:t>
            </w:r>
            <w:r>
              <w:rPr>
                <w:rFonts w:ascii="Arial" w:cs="Arial" w:eastAsia="Arial" w:hAnsi="Arial"/>
                <w:sz w:val="18"/>
                <w:szCs w:val="18"/>
                <w:color w:val="auto"/>
                <w:w w:val="98"/>
              </w:rPr>
              <w:t>, P</w:t>
            </w:r>
            <w:r>
              <w:rPr>
                <w:rFonts w:ascii="Arial" w:cs="Arial" w:eastAsia="Arial" w:hAnsi="Arial"/>
                <w:sz w:val="14"/>
                <w:szCs w:val="14"/>
                <w:color w:val="auto"/>
                <w:w w:val="98"/>
              </w:rPr>
              <w:t>H</w:t>
            </w:r>
            <w:r>
              <w:rPr>
                <w:rFonts w:ascii="Arial" w:cs="Arial" w:eastAsia="Arial" w:hAnsi="Arial"/>
                <w:sz w:val="18"/>
                <w:szCs w:val="18"/>
                <w:color w:val="auto"/>
                <w:w w:val="98"/>
              </w:rPr>
              <w:t>.D.</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9"/>
              </w:rPr>
              <w:t>Alan J. Levy, Ph.D.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W. D</w:t>
            </w:r>
            <w:r>
              <w:rPr>
                <w:rFonts w:ascii="Arial" w:cs="Arial" w:eastAsia="Arial" w:hAnsi="Arial"/>
                <w:sz w:val="14"/>
                <w:szCs w:val="14"/>
                <w:color w:val="auto"/>
                <w:w w:val="96"/>
              </w:rPr>
              <w:t>UGGAN</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8"/>
              </w:rPr>
              <w:t>Robert W. Duggan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83"/>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4"/>
              </w:rPr>
              <w:t>G</w:t>
            </w:r>
            <w:r>
              <w:rPr>
                <w:rFonts w:ascii="Arial" w:cs="Arial" w:eastAsia="Arial" w:hAnsi="Arial"/>
                <w:sz w:val="14"/>
                <w:szCs w:val="14"/>
                <w:color w:val="auto"/>
                <w:w w:val="94"/>
              </w:rPr>
              <w:t>EORGE</w:t>
            </w:r>
            <w:r>
              <w:rPr>
                <w:rFonts w:ascii="Arial" w:cs="Arial" w:eastAsia="Arial" w:hAnsi="Arial"/>
                <w:sz w:val="18"/>
                <w:szCs w:val="18"/>
                <w:color w:val="auto"/>
                <w:w w:val="94"/>
              </w:rPr>
              <w:t xml:space="preserve"> J. S</w:t>
            </w:r>
            <w:r>
              <w:rPr>
                <w:rFonts w:ascii="Arial" w:cs="Arial" w:eastAsia="Arial" w:hAnsi="Arial"/>
                <w:sz w:val="14"/>
                <w:szCs w:val="14"/>
                <w:color w:val="auto"/>
                <w:w w:val="94"/>
              </w:rPr>
              <w:t>TALK</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6"/>
              </w:rPr>
              <w:t>George J. Stalk</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83"/>
              </w:rPr>
              <w:t>/s/</w:t>
            </w:r>
          </w:p>
        </w:tc>
        <w:tc>
          <w:tcPr>
            <w:tcW w:w="330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ARK</w:t>
            </w:r>
            <w:r>
              <w:rPr>
                <w:rFonts w:ascii="Arial" w:cs="Arial" w:eastAsia="Arial" w:hAnsi="Arial"/>
                <w:sz w:val="18"/>
                <w:szCs w:val="18"/>
                <w:color w:val="auto"/>
                <w:w w:val="99"/>
              </w:rPr>
              <w:t xml:space="preserve"> J. R</w:t>
            </w:r>
            <w:r>
              <w:rPr>
                <w:rFonts w:ascii="Arial" w:cs="Arial" w:eastAsia="Arial" w:hAnsi="Arial"/>
                <w:sz w:val="14"/>
                <w:szCs w:val="14"/>
                <w:color w:val="auto"/>
                <w:w w:val="99"/>
              </w:rPr>
              <w:t>UBASH</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February 6, 2009</w:t>
            </w:r>
          </w:p>
        </w:tc>
      </w:tr>
      <w:tr>
        <w:trPr>
          <w:trHeight w:val="169"/>
        </w:trPr>
        <w:tc>
          <w:tcPr>
            <w:tcW w:w="1740" w:type="dxa"/>
            <w:vAlign w:val="bottom"/>
          </w:tcPr>
          <w:p>
            <w:pPr>
              <w:spacing w:after="0"/>
              <w:rPr>
                <w:sz w:val="14"/>
                <w:szCs w:val="14"/>
                <w:color w:val="auto"/>
              </w:rPr>
            </w:pPr>
          </w:p>
        </w:tc>
        <w:tc>
          <w:tcPr>
            <w:tcW w:w="330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2"/>
              </w:rPr>
              <w:t>Mark J. Rubash</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50"/>
        </w:trPr>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ORRECTED</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NTUITIVE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URGICAL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w:t>
      </w:r>
      <w:r>
        <w:rPr>
          <w:rFonts w:ascii="Arial" w:cs="Arial" w:eastAsia="Arial" w:hAnsi="Arial"/>
          <w:sz w:val="13"/>
          <w:szCs w:val="13"/>
          <w:color w:val="auto"/>
        </w:rPr>
        <w:t>NTUITIVE</w:t>
      </w:r>
      <w:r>
        <w:rPr>
          <w:rFonts w:ascii="Arial" w:cs="Arial" w:eastAsia="Arial" w:hAnsi="Arial"/>
          <w:sz w:val="16"/>
          <w:szCs w:val="16"/>
          <w:color w:val="auto"/>
        </w:rPr>
        <w:t xml:space="preserve"> S</w:t>
      </w:r>
      <w:r>
        <w:rPr>
          <w:rFonts w:ascii="Arial" w:cs="Arial" w:eastAsia="Arial" w:hAnsi="Arial"/>
          <w:sz w:val="13"/>
          <w:szCs w:val="13"/>
          <w:color w:val="auto"/>
        </w:rPr>
        <w:t>URGICAL</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 a corporation organized and existing under the laws of the state of Delaware (the “Corporation”) hereby certifies that: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name of the Corporation is Intuitive Surgical, Inc. The name under which this corporation was originally incorporated is Intuitive Surgical Devices,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65"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of filing of the Corporation’s original Certificate of Incorporation was November 9, 1995.</w:t>
      </w:r>
    </w:p>
    <w:p>
      <w:pPr>
        <w:spacing w:after="0" w:line="171" w:lineRule="exact"/>
        <w:rPr>
          <w:rFonts w:ascii="Arial" w:cs="Arial" w:eastAsia="Arial" w:hAnsi="Arial"/>
          <w:sz w:val="18"/>
          <w:szCs w:val="18"/>
          <w:color w:val="auto"/>
        </w:rPr>
      </w:pPr>
    </w:p>
    <w:p>
      <w:pPr>
        <w:ind w:right="680" w:firstLine="464"/>
        <w:spacing w:after="0" w:line="268" w:lineRule="auto"/>
        <w:tabs>
          <w:tab w:leader="none" w:pos="6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Corporation filed an Amended and Restated Certificate of Incorporation on June 30, 2003. Said Amended and Restated Certificate requires correction as permitted by Section 103 of the General Corporation law of the State of Delaware.</w:t>
      </w:r>
    </w:p>
    <w:p>
      <w:pPr>
        <w:spacing w:after="0" w:line="131" w:lineRule="exact"/>
        <w:rPr>
          <w:rFonts w:ascii="Arial" w:cs="Arial" w:eastAsia="Arial" w:hAnsi="Arial"/>
          <w:sz w:val="18"/>
          <w:szCs w:val="18"/>
          <w:color w:val="auto"/>
        </w:rPr>
      </w:pPr>
    </w:p>
    <w:p>
      <w:pPr>
        <w:ind w:right="500" w:firstLine="464"/>
        <w:spacing w:after="0" w:line="268" w:lineRule="auto"/>
        <w:tabs>
          <w:tab w:leader="none" w:pos="6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inaccuracy or defect of said Amended and Restated Certificate of Incorporation is as follows: Due to a clerical error, the Corporation’s former Certificate of Incorporation was mistakenly filed in lieu of a Certificate of Amendment.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Amended and Restated Certificate of Incorporation is corrected to read as shown in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8" w:lineRule="exact"/>
        <w:rPr>
          <w:sz w:val="20"/>
          <w:szCs w:val="20"/>
          <w:color w:val="auto"/>
        </w:rPr>
      </w:pPr>
    </w:p>
    <w:p>
      <w:pPr>
        <w:ind w:right="560" w:firstLine="456"/>
        <w:spacing w:after="0" w:line="254" w:lineRule="auto"/>
        <w:rPr>
          <w:sz w:val="20"/>
          <w:szCs w:val="20"/>
          <w:color w:val="auto"/>
        </w:rPr>
      </w:pPr>
      <w:r>
        <w:rPr>
          <w:rFonts w:ascii="Arial" w:cs="Arial" w:eastAsia="Arial" w:hAnsi="Arial"/>
          <w:sz w:val="16"/>
          <w:szCs w:val="16"/>
          <w:color w:val="auto"/>
        </w:rPr>
        <w:t>IN WITNESS WHEREOF, the undersigned has signed this certificate this 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2003, and hereby affirms and acknowledges under penalty of perjury that the filing of this Amended and Restated Certificate of Incorporation is the act and deed of Intuitive Surgical, Inc.</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NTUITIVE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URGICAL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Lonnie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Lonnie M. Smith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OF </w:t>
      </w:r>
      <w:r>
        <w:rPr>
          <w:rFonts w:ascii="Arial" w:cs="Arial" w:eastAsia="Arial" w:hAnsi="Arial"/>
          <w:sz w:val="17"/>
          <w:szCs w:val="17"/>
          <w:b w:val="1"/>
          <w:bCs w:val="1"/>
          <w:color w:val="auto"/>
        </w:rPr>
        <w:t>I</w:t>
      </w:r>
      <w:r>
        <w:rPr>
          <w:rFonts w:ascii="Arial" w:cs="Arial" w:eastAsia="Arial" w:hAnsi="Arial"/>
          <w:sz w:val="15"/>
          <w:szCs w:val="15"/>
          <w:b w:val="1"/>
          <w:bCs w:val="1"/>
          <w:color w:val="auto"/>
        </w:rPr>
        <w:t xml:space="preserve">NTUITIVE </w:t>
      </w:r>
      <w:r>
        <w:rPr>
          <w:rFonts w:ascii="Arial" w:cs="Arial" w:eastAsia="Arial" w:hAnsi="Arial"/>
          <w:sz w:val="17"/>
          <w:szCs w:val="17"/>
          <w:b w:val="1"/>
          <w:bCs w:val="1"/>
          <w:color w:val="auto"/>
        </w:rPr>
        <w:t>S</w:t>
      </w:r>
      <w:r>
        <w:rPr>
          <w:rFonts w:ascii="Arial" w:cs="Arial" w:eastAsia="Arial" w:hAnsi="Arial"/>
          <w:sz w:val="15"/>
          <w:szCs w:val="15"/>
          <w:b w:val="1"/>
          <w:bCs w:val="1"/>
          <w:color w:val="auto"/>
        </w:rPr>
        <w:t>URGICAL</w:t>
      </w:r>
      <w:r>
        <w:rPr>
          <w:rFonts w:ascii="Arial" w:cs="Arial" w:eastAsia="Arial" w:hAnsi="Arial"/>
          <w:sz w:val="17"/>
          <w:szCs w:val="17"/>
          <w:b w:val="1"/>
          <w:bCs w:val="1"/>
          <w:color w:val="auto"/>
        </w:rPr>
        <w:t>, I</w:t>
      </w:r>
      <w:r>
        <w:rPr>
          <w:rFonts w:ascii="Arial" w:cs="Arial" w:eastAsia="Arial" w:hAnsi="Arial"/>
          <w:sz w:val="15"/>
          <w:szCs w:val="15"/>
          <w:b w:val="1"/>
          <w:bCs w:val="1"/>
          <w:color w:val="auto"/>
        </w:rPr>
        <w:t>NC</w:t>
      </w:r>
      <w:r>
        <w:rPr>
          <w:rFonts w:ascii="Arial" w:cs="Arial" w:eastAsia="Arial" w:hAnsi="Arial"/>
          <w:sz w:val="17"/>
          <w:szCs w:val="17"/>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7"/>
          <w:szCs w:val="17"/>
          <w:b w:val="1"/>
          <w:bCs w:val="1"/>
          <w:color w:val="auto"/>
        </w:rPr>
        <w:t>D</w:t>
      </w:r>
      <w:r>
        <w:rPr>
          <w:rFonts w:ascii="Arial" w:cs="Arial" w:eastAsia="Arial" w:hAnsi="Arial"/>
          <w:sz w:val="15"/>
          <w:szCs w:val="15"/>
          <w:b w:val="1"/>
          <w:bCs w:val="1"/>
          <w:color w:val="auto"/>
        </w:rPr>
        <w:t>ELAWARE 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name of the corporation is </w:t>
      </w:r>
      <w:r>
        <w:rPr>
          <w:rFonts w:ascii="Arial" w:cs="Arial" w:eastAsia="Arial" w:hAnsi="Arial"/>
          <w:sz w:val="18"/>
          <w:szCs w:val="18"/>
          <w:b w:val="1"/>
          <w:bCs w:val="1"/>
          <w:color w:val="auto"/>
        </w:rPr>
        <w:t>Intuitive Surgical, Inc</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address of the corporation’s registered office in the State of Delaware is 1013 Centre Road, City of Wilmington, County of New Castle. The name of its registered agent at such address is The Prentice-Hall Corporation System,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purpose of this corporation is to engage in any lawful act or activity for which a corporation may be organized under the General Corporation Law of Delaware (“DGCL”).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Classes of Stock</w:t>
      </w:r>
      <w:r>
        <w:rPr>
          <w:rFonts w:ascii="Arial" w:cs="Arial" w:eastAsia="Arial" w:hAnsi="Arial"/>
          <w:sz w:val="18"/>
          <w:szCs w:val="18"/>
          <w:color w:val="auto"/>
        </w:rPr>
        <w:t>. This corporation is authorized to issue two classes of stock to be designated, respectively, “Common Stock” and “Preferred Stock.” The total number of shares which the corporation is authorized to issue is two hundred five million (205,000,000) shares, of which two hundred million (200,000,000) shares shall be Common Stock, par value $0.001 per share, and five million (5,000,000) shares shall be Preferred Stock, par value $0.001 per share.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Rights, Preferences and Restrictions of Preferred Stock</w:t>
      </w:r>
      <w:r>
        <w:rPr>
          <w:rFonts w:ascii="Arial" w:cs="Arial" w:eastAsia="Arial" w:hAnsi="Arial"/>
          <w:sz w:val="16"/>
          <w:szCs w:val="16"/>
          <w:color w:val="auto"/>
        </w:rPr>
        <w:t>. The Preferred Stock may be issued from time to time in one or more series. The Board of Directors is hereby authorized, by filing a certificate (a “Preferred Stock Designation”) pursuant to DGCL, to fix or alter from time to time the designation, powers, preferences and rights (voting or otherwise) granted upon, and the qualifications, limitations or restrictions of, any wholly unissued series of Preferred Stock, and to establish from time to time the number of shares constituting any such series or any of them; and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ectPr>
          <w:pgSz w:w="11900" w:h="16838" w:orient="portrait"/>
          <w:cols w:equalWidth="0" w:num="1">
            <w:col w:w="11420"/>
          </w:cols>
          <w:pgMar w:left="240" w:top="274"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Management of Business</w:t>
      </w:r>
      <w:r>
        <w:rPr>
          <w:rFonts w:ascii="Arial" w:cs="Arial" w:eastAsia="Arial" w:hAnsi="Arial"/>
          <w:sz w:val="18"/>
          <w:szCs w:val="18"/>
          <w:color w:val="auto"/>
        </w:rPr>
        <w:t>. The management of the business and the conduct of the affairs of the corporation shall be vested in its Board of Directors. The number of directors which shall constitute the whole Board of Directors shall be fixed exclusively by one or more resolutions adopted by the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86" w:lineRule="auto"/>
        <w:tabs>
          <w:tab w:leader="none" w:pos="1074" w:val="left"/>
        </w:tabs>
        <w:numPr>
          <w:ilvl w:val="1"/>
          <w:numId w:val="56"/>
        </w:numPr>
        <w:rPr>
          <w:rFonts w:ascii="Arial" w:cs="Arial" w:eastAsia="Arial" w:hAnsi="Arial"/>
          <w:sz w:val="16"/>
          <w:szCs w:val="16"/>
          <w:color w:val="auto"/>
        </w:rPr>
      </w:pPr>
      <w:r>
        <w:rPr>
          <w:rFonts w:ascii="Arial" w:cs="Arial" w:eastAsia="Arial" w:hAnsi="Arial"/>
          <w:sz w:val="16"/>
          <w:szCs w:val="16"/>
          <w:color w:val="auto"/>
        </w:rPr>
        <w:t>Subject to the rights of the holders of any series of Preferred Stock to elect additional directors under specified circumstances, the directors shall be divided into three classes designated as Class I, Class II and Class III, respectively. Directors shall be assigned to each class in accordance with a resolution or resolutions adopted by the Board of Directors. At the first annual meeting of stockholders following the closing of the initial public offering pursuant to an effective registration statement under the Securities Act of 1933, as amended, covering the offer and sale of Common Stock to the public (the “Initial Public Offering”), the term of office of the Class I directors shall expire and Class I directors shall be elected for a full term of three years. At the second annual meeting of stockholders following the Initial Public Offering, the term of office of the Class II directors shall expire and Class II directors shall be elected for a full term of three years. At the third annual meeting of stockholders following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During such time or times that the corporation is subject to Section 2115(b) of the California General Corporation Law (“CGCL”), this Section B.1. of this Article V shall become effective and be applicable only when the corporation is a “listed” corporation within the meaning of Section 301.5 of the CGCL.</w:t>
      </w:r>
    </w:p>
    <w:p>
      <w:pPr>
        <w:spacing w:after="0" w:line="46" w:lineRule="exact"/>
        <w:rPr>
          <w:rFonts w:ascii="Arial" w:cs="Arial" w:eastAsia="Arial" w:hAnsi="Arial"/>
          <w:sz w:val="16"/>
          <w:szCs w:val="16"/>
          <w:color w:val="auto"/>
        </w:rPr>
      </w:pPr>
    </w:p>
    <w:p>
      <w:pPr>
        <w:ind w:left="460" w:right="40" w:firstLine="443"/>
        <w:spacing w:after="0" w:line="259" w:lineRule="auto"/>
        <w:tabs>
          <w:tab w:leader="none" w:pos="1074"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event that the corporation is subject to Section 2115(b) of the CGCL AND is not a “listed” corporation or ceases to be a “listed” corporation under Section 301.5 of the CGCL, Section B.1. of this Article V shall not apply and all directors shall be shall be elected at each annual meeting of stockholders to hold office until the next annual meeting.</w:t>
      </w:r>
    </w:p>
    <w:p>
      <w:pPr>
        <w:spacing w:after="0" w:line="59" w:lineRule="exact"/>
        <w:rPr>
          <w:rFonts w:ascii="Arial" w:cs="Arial" w:eastAsia="Arial" w:hAnsi="Arial"/>
          <w:sz w:val="18"/>
          <w:szCs w:val="18"/>
          <w:color w:val="auto"/>
        </w:rPr>
      </w:pPr>
    </w:p>
    <w:p>
      <w:pPr>
        <w:ind w:left="460" w:firstLine="443"/>
        <w:spacing w:after="0" w:line="302" w:lineRule="auto"/>
        <w:tabs>
          <w:tab w:leader="none" w:pos="1074" w:val="left"/>
        </w:tabs>
        <w:numPr>
          <w:ilvl w:val="1"/>
          <w:numId w:val="56"/>
        </w:numPr>
        <w:rPr>
          <w:rFonts w:ascii="Arial" w:cs="Arial" w:eastAsia="Arial" w:hAnsi="Arial"/>
          <w:sz w:val="15"/>
          <w:szCs w:val="15"/>
          <w:color w:val="auto"/>
        </w:rPr>
      </w:pPr>
      <w:r>
        <w:rPr>
          <w:rFonts w:ascii="Arial" w:cs="Arial" w:eastAsia="Arial" w:hAnsi="Arial"/>
          <w:sz w:val="15"/>
          <w:szCs w:val="15"/>
          <w:color w:val="auto"/>
        </w:rPr>
        <w:t>No person entitled to vote at an election for directors may cumulate votes to which such person is entitled, unless, at the time of such election, the corporation is subject to Section 2115(b) of the CGCL AND is not a “listed” corporation or ceases to be a “listed” corporation under Section 301.5 of the CGCL. During this time,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w:t>
      </w:r>
    </w:p>
    <w:p>
      <w:pPr>
        <w:ind w:left="460" w:right="380" w:firstLine="4"/>
        <w:spacing w:after="0" w:line="331" w:lineRule="auto"/>
        <w:tabs>
          <w:tab w:leader="none" w:pos="719"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1" w:name="page112"/>
    <w:bookmarkEnd w:id="111"/>
    <w:p>
      <w:pPr>
        <w:ind w:right="5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provisions of this section, each director shall serve until his successor is duly elected and qualified or until his death, resignation or removal. No decrease in the number of directors constituting the Board of Directors shall shorten the term of any incumbent director.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91" w:lineRule="auto"/>
        <w:tabs>
          <w:tab w:leader="none" w:pos="1074" w:val="left"/>
        </w:tabs>
        <w:numPr>
          <w:ilvl w:val="1"/>
          <w:numId w:val="58"/>
        </w:numPr>
        <w:rPr>
          <w:rFonts w:ascii="Arial" w:cs="Arial" w:eastAsia="Arial" w:hAnsi="Arial"/>
          <w:sz w:val="16"/>
          <w:szCs w:val="16"/>
          <w:color w:val="auto"/>
        </w:rPr>
      </w:pPr>
      <w:r>
        <w:rPr>
          <w:rFonts w:ascii="Arial" w:cs="Arial" w:eastAsia="Arial" w:hAnsi="Arial"/>
          <w:sz w:val="16"/>
          <w:szCs w:val="16"/>
          <w:color w:val="auto"/>
        </w:rPr>
        <w:t>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39" w:lineRule="exact"/>
        <w:rPr>
          <w:rFonts w:ascii="Arial" w:cs="Arial" w:eastAsia="Arial" w:hAnsi="Arial"/>
          <w:sz w:val="16"/>
          <w:szCs w:val="16"/>
          <w:color w:val="auto"/>
        </w:rPr>
      </w:pPr>
    </w:p>
    <w:p>
      <w:pPr>
        <w:ind w:left="460" w:right="320" w:firstLine="443"/>
        <w:spacing w:after="0" w:line="268" w:lineRule="auto"/>
        <w:tabs>
          <w:tab w:leader="none" w:pos="107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At any time or times that the corporation is not subject to Section 2115(b) of the CGCL and subject to any limitations imposed by law, Section C.1. above shall no longer apply and removal shall be as provided in Section 141(k) of the DGCL.</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1" w:lineRule="auto"/>
        <w:tabs>
          <w:tab w:leader="none" w:pos="1074" w:val="left"/>
        </w:tabs>
        <w:numPr>
          <w:ilvl w:val="1"/>
          <w:numId w:val="59"/>
        </w:numPr>
        <w:rPr>
          <w:rFonts w:ascii="Arial" w:cs="Arial" w:eastAsia="Arial" w:hAnsi="Arial"/>
          <w:sz w:val="16"/>
          <w:szCs w:val="16"/>
          <w:color w:val="auto"/>
        </w:rPr>
      </w:pPr>
      <w:r>
        <w:rPr>
          <w:rFonts w:ascii="Arial" w:cs="Arial" w:eastAsia="Arial" w:hAnsi="Arial"/>
          <w:sz w:val="16"/>
          <w:szCs w:val="16"/>
          <w:color w:val="auto"/>
        </w:rPr>
        <w:t>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39" w:lineRule="exact"/>
        <w:rPr>
          <w:rFonts w:ascii="Arial" w:cs="Arial" w:eastAsia="Arial" w:hAnsi="Arial"/>
          <w:sz w:val="16"/>
          <w:szCs w:val="16"/>
          <w:color w:val="auto"/>
        </w:rPr>
      </w:pPr>
    </w:p>
    <w:p>
      <w:pPr>
        <w:ind w:left="460" w:right="80" w:firstLine="443"/>
        <w:spacing w:after="0" w:line="294" w:lineRule="auto"/>
        <w:tabs>
          <w:tab w:leader="none" w:pos="1074" w:val="left"/>
        </w:tabs>
        <w:numPr>
          <w:ilvl w:val="1"/>
          <w:numId w:val="59"/>
        </w:numPr>
        <w:rPr>
          <w:rFonts w:ascii="Arial" w:cs="Arial" w:eastAsia="Arial" w:hAnsi="Arial"/>
          <w:sz w:val="16"/>
          <w:szCs w:val="16"/>
          <w:color w:val="auto"/>
        </w:rPr>
      </w:pPr>
      <w:r>
        <w:rPr>
          <w:rFonts w:ascii="Arial" w:cs="Arial" w:eastAsia="Arial" w:hAnsi="Arial"/>
          <w:sz w:val="16"/>
          <w:szCs w:val="16"/>
          <w:color w:val="auto"/>
        </w:rPr>
        <w:t>If at the time of filling any vacancy or any newly created directorship, the directors then in office shall constitute less than a majority of the whole board (as constituted immediately prior to any such increase), the Delaware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offices as aforesaid, which election shall be governed by Section 211 of the DGCL.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12" w:name="page113"/>
    <w:bookmarkEnd w:id="112"/>
    <w:p>
      <w:pPr>
        <w:ind w:left="460" w:right="340" w:firstLine="443"/>
        <w:spacing w:after="0" w:line="332" w:lineRule="auto"/>
        <w:tabs>
          <w:tab w:leader="none" w:pos="1074" w:val="left"/>
        </w:tabs>
        <w:numPr>
          <w:ilvl w:val="1"/>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or times that the corporation is subject to Section 2115(b) of the CGCL, if, after the filling of any vacancy by the directors then in office who have been elected by stockholders shall constitute less than a majority of the directors then in office, then:</w:t>
      </w:r>
    </w:p>
    <w:p>
      <w:pPr>
        <w:spacing w:after="0" w:line="4" w:lineRule="exact"/>
        <w:rPr>
          <w:rFonts w:ascii="Arial" w:cs="Arial" w:eastAsia="Arial" w:hAnsi="Arial"/>
          <w:sz w:val="16"/>
          <w:szCs w:val="16"/>
          <w:color w:val="auto"/>
        </w:rPr>
      </w:pPr>
    </w:p>
    <w:p>
      <w:pPr>
        <w:ind w:left="920" w:right="40" w:firstLine="421"/>
        <w:spacing w:after="0" w:line="268" w:lineRule="auto"/>
        <w:tabs>
          <w:tab w:leader="none" w:pos="1579"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holder or holders of an aggregate of five percent (5%) or more of the total number of shares at the time outstanding having the right to vote for those directors may call a special meeting of stockholders; or</w:t>
      </w:r>
    </w:p>
    <w:p>
      <w:pPr>
        <w:spacing w:after="0" w:line="50" w:lineRule="exact"/>
        <w:rPr>
          <w:rFonts w:ascii="Arial" w:cs="Arial" w:eastAsia="Arial" w:hAnsi="Arial"/>
          <w:sz w:val="18"/>
          <w:szCs w:val="18"/>
          <w:color w:val="auto"/>
        </w:rPr>
      </w:pPr>
    </w:p>
    <w:p>
      <w:pPr>
        <w:ind w:left="920" w:right="80" w:firstLine="421"/>
        <w:spacing w:after="0" w:line="259" w:lineRule="auto"/>
        <w:tabs>
          <w:tab w:leader="none" w:pos="1588"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Superior Court of the proper county shall, upon application of such stockholder or stockholders, summarily order a special meeting of stockholders, to be held to elect the entire board, all in accordance with Section 305(c) of the CGCL. The term of office of any director shall terminate upon that election of a successor.</w:t>
      </w:r>
    </w:p>
    <w:p>
      <w:pPr>
        <w:spacing w:after="0" w:line="140" w:lineRule="exact"/>
        <w:rPr>
          <w:rFonts w:ascii="Arial" w:cs="Arial" w:eastAsia="Arial" w:hAnsi="Arial"/>
          <w:sz w:val="18"/>
          <w:szCs w:val="18"/>
          <w:color w:val="auto"/>
        </w:rPr>
      </w:pPr>
    </w:p>
    <w:p>
      <w:pPr>
        <w:ind w:right="520" w:firstLine="464"/>
        <w:spacing w:after="0" w:line="306" w:lineRule="auto"/>
        <w:tabs>
          <w:tab w:leader="none" w:pos="65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Bylaw Amendments</w:t>
      </w:r>
      <w:r>
        <w:rPr>
          <w:rFonts w:ascii="Arial" w:cs="Arial" w:eastAsia="Arial" w:hAnsi="Arial"/>
          <w:sz w:val="16"/>
          <w:szCs w:val="16"/>
          <w:color w:val="auto"/>
        </w:rPr>
        <w:t>. Subject to paragraph (h) of Section 43 of the Bylaws, the Bylaws may be altered or amended or new Bylaws adopted by the affirmative vote of at least sixty-six and two-thirds percent (66-2/3%) of the voting power of all of the then-outstanding shares of the voting stock of the corporation entitled to vote. The Board of Directors shall also have the power to adopt, amend, or repeal Bylaws.</w:t>
      </w:r>
    </w:p>
    <w:p>
      <w:pPr>
        <w:spacing w:after="0" w:line="106" w:lineRule="exact"/>
        <w:rPr>
          <w:rFonts w:ascii="Arial" w:cs="Arial" w:eastAsia="Arial" w:hAnsi="Arial"/>
          <w:sz w:val="16"/>
          <w:szCs w:val="16"/>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Ballots</w:t>
      </w:r>
      <w:r>
        <w:rPr>
          <w:rFonts w:ascii="Arial" w:cs="Arial" w:eastAsia="Arial" w:hAnsi="Arial"/>
          <w:sz w:val="18"/>
          <w:szCs w:val="18"/>
          <w:color w:val="auto"/>
        </w:rPr>
        <w:t>. The directors of the corporation need not be elected by written ballot unless the Bylaws so provide.</w:t>
      </w:r>
    </w:p>
    <w:p>
      <w:pPr>
        <w:spacing w:after="0" w:line="171" w:lineRule="exact"/>
        <w:rPr>
          <w:rFonts w:ascii="Arial" w:cs="Arial" w:eastAsia="Arial" w:hAnsi="Arial"/>
          <w:sz w:val="18"/>
          <w:szCs w:val="18"/>
          <w:color w:val="auto"/>
        </w:rPr>
      </w:pPr>
    </w:p>
    <w:p>
      <w:pPr>
        <w:ind w:right="80" w:firstLine="464"/>
        <w:spacing w:after="0" w:line="268" w:lineRule="auto"/>
        <w:tabs>
          <w:tab w:leader="none" w:pos="67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Action by Stockholders</w:t>
      </w:r>
      <w:r>
        <w:rPr>
          <w:rFonts w:ascii="Arial" w:cs="Arial" w:eastAsia="Arial" w:hAnsi="Arial"/>
          <w:sz w:val="18"/>
          <w:szCs w:val="18"/>
          <w:color w:val="auto"/>
        </w:rPr>
        <w:t>. No action shall be taken by the stockholders of the corporation except at an annual or special meeting of stockholders called in accordance with the Bylaws; no action shall be taken by the stockholders by written consent.</w:t>
      </w:r>
    </w:p>
    <w:p>
      <w:pPr>
        <w:spacing w:after="0" w:line="131" w:lineRule="exact"/>
        <w:rPr>
          <w:rFonts w:ascii="Arial" w:cs="Arial" w:eastAsia="Arial" w:hAnsi="Arial"/>
          <w:sz w:val="18"/>
          <w:szCs w:val="18"/>
          <w:color w:val="auto"/>
        </w:rPr>
      </w:pPr>
    </w:p>
    <w:p>
      <w:pPr>
        <w:ind w:right="440" w:firstLine="464"/>
        <w:spacing w:after="0" w:line="332" w:lineRule="auto"/>
        <w:tabs>
          <w:tab w:leader="none" w:pos="67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Advance Notice</w:t>
      </w:r>
      <w:r>
        <w:rPr>
          <w:rFonts w:ascii="Arial" w:cs="Arial" w:eastAsia="Arial" w:hAnsi="Arial"/>
          <w:sz w:val="16"/>
          <w:szCs w:val="16"/>
          <w:color w:val="auto"/>
        </w:rPr>
        <w:t>.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85" w:lineRule="exact"/>
        <w:rPr>
          <w:rFonts w:ascii="Arial" w:cs="Arial" w:eastAsia="Arial" w:hAnsi="Arial"/>
          <w:sz w:val="16"/>
          <w:szCs w:val="16"/>
          <w:color w:val="auto"/>
        </w:rPr>
      </w:pPr>
    </w:p>
    <w:p>
      <w:pPr>
        <w:ind w:firstLine="464"/>
        <w:spacing w:after="0" w:line="268" w:lineRule="auto"/>
        <w:tabs>
          <w:tab w:leader="none" w:pos="60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Special meetings of the stockholders may be called only by the Chairman of the Board, the Chief Executive Officer, or a majority of the members of the Board of Directors.</w:t>
      </w:r>
    </w:p>
    <w:p>
      <w:pPr>
        <w:spacing w:after="0" w:line="20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liability of the directors for monetary damages shall be eliminated to the fullest extent under applicable law.</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 This corporation is authorized to provide indemnification of agents (as defined in Section 317 of the CGCL) for breach of duty to the corporation and its shareholders through bylaw provisions or through agreements with the agents, or through shareholder resolutions, or otherwise, in excess of the indemnification otherwise permitted by Section 317 of the CGCL, subject, at any time or times the corporation is subject to Section 2115(b) to the limits on such excess indemnification set forth in Section 204 of the CGCL.</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 Any repeal or modification of this Article VI shall be prospective and shall not affect the rights under this Article VI in effect at the time of the alleged occurrence of any act or omission to act giving rise to liability or indemnification.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3" w:name="page114"/>
    <w:bookmarkEnd w:id="11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The corporation reserves the right to amend, alter, change or repeal any provision contained in this Certificate of Incorporation, in the manner now or hereafter prescribed by statute, except as provided in paragraph B of this Article VII, and all rights conferred upon the stockholders herein are granted subject to this reservation.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 Notwithstanding any other provisions of this Certificate of Incorporation or any provision of law which might otherwise permit a lesser vote or no vote, but in addition to any affirmative vote of the holders of any particular class or series of the voting stock required by law, this Certificate of Incorporation or any Preferred Stock Designation, the affirmative vote of the holders of at least sixty-six and two-thirds percent (66-2/3%) of the voting power of all of the then-outstanding shares of the voting stock, voting together as a single class, shall be required to alter, amend or repeal Articles V, VI and VII.</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7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 242 of the General Corporation Law of the State of Delaware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hereby certified that:</w:t>
      </w:r>
    </w:p>
    <w:p>
      <w:pPr>
        <w:spacing w:after="0" w:line="171" w:lineRule="exact"/>
        <w:rPr>
          <w:sz w:val="20"/>
          <w:szCs w:val="20"/>
          <w:color w:val="auto"/>
        </w:rPr>
      </w:pPr>
    </w:p>
    <w:p>
      <w:pPr>
        <w:ind w:right="300" w:firstLine="464"/>
        <w:spacing w:after="0" w:line="268"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amendment to the Amended and Restated Certificate of Incorporation of the corporation has been duly adopted in accordance with the provisions of Section 242 of the General Corporation Law of the State of Delaware:</w:t>
      </w:r>
    </w:p>
    <w:p>
      <w:pPr>
        <w:spacing w:after="0" w:line="51" w:lineRule="exact"/>
        <w:rPr>
          <w:sz w:val="20"/>
          <w:szCs w:val="20"/>
          <w:color w:val="auto"/>
        </w:rPr>
      </w:pPr>
    </w:p>
    <w:p>
      <w:pPr>
        <w:ind w:left="460" w:right="400" w:firstLine="438"/>
        <w:spacing w:after="0" w:line="268" w:lineRule="auto"/>
        <w:rPr>
          <w:sz w:val="20"/>
          <w:szCs w:val="20"/>
          <w:color w:val="auto"/>
        </w:rPr>
      </w:pPr>
      <w:r>
        <w:rPr>
          <w:rFonts w:ascii="Arial" w:cs="Arial" w:eastAsia="Arial" w:hAnsi="Arial"/>
          <w:sz w:val="18"/>
          <w:szCs w:val="18"/>
          <w:color w:val="auto"/>
        </w:rPr>
        <w:t>Paragraph (a) of Article Four of Exhibit A of the Amended and Restated Certificate of Incorporation is hereby amended to read in its entirety as follows:</w:t>
      </w:r>
    </w:p>
    <w:p>
      <w:pPr>
        <w:spacing w:after="0" w:line="51" w:lineRule="exact"/>
        <w:rPr>
          <w:sz w:val="20"/>
          <w:szCs w:val="20"/>
          <w:color w:val="auto"/>
        </w:rPr>
      </w:pPr>
    </w:p>
    <w:p>
      <w:pPr>
        <w:ind w:left="920" w:right="140" w:firstLine="420"/>
        <w:spacing w:after="0" w:line="29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Classes of Stock</w:t>
      </w:r>
      <w:r>
        <w:rPr>
          <w:rFonts w:ascii="Arial" w:cs="Arial" w:eastAsia="Arial" w:hAnsi="Arial"/>
          <w:sz w:val="16"/>
          <w:szCs w:val="16"/>
          <w:color w:val="auto"/>
        </w:rPr>
        <w:t>. This corporation is authorized to issue two classes of stock to be designated, respectively, “Common Stock” and “Preferred Stock.” The total number of shares which the corporation is authorized to issue is one hundred two million five hundred thousand (102,500,000) shares, of which one hundred million (100,000,000) shares shall be Common Stock, par value $0.001 per share, and two million five hundred thousand (2,500,000) shares shall be Preferred stock, par value $0.001 per share.</w:t>
      </w:r>
    </w:p>
    <w:p>
      <w:pPr>
        <w:spacing w:after="0" w:line="32" w:lineRule="exact"/>
        <w:rPr>
          <w:sz w:val="20"/>
          <w:szCs w:val="20"/>
          <w:color w:val="auto"/>
        </w:rPr>
      </w:pPr>
    </w:p>
    <w:p>
      <w:pPr>
        <w:ind w:left="460" w:right="40" w:firstLine="438"/>
        <w:spacing w:after="0" w:line="288" w:lineRule="auto"/>
        <w:rPr>
          <w:sz w:val="20"/>
          <w:szCs w:val="20"/>
          <w:color w:val="auto"/>
        </w:rPr>
      </w:pPr>
      <w:r>
        <w:rPr>
          <w:rFonts w:ascii="Arial" w:cs="Arial" w:eastAsia="Arial" w:hAnsi="Arial"/>
          <w:sz w:val="16"/>
          <w:szCs w:val="16"/>
          <w:color w:val="auto"/>
        </w:rPr>
        <w:t>When the foregoing amendment becomes effective, (i) each share of Common Stock issued and outstanding or held in the treasury of the corporation immediately prior to the time this amendment becomes effective shall be reclassified and changed into and shall constitute one-half (1/2) of one fully paid and nonassessable share of Common Stock and (ii) each share of Preferred Stock issued and outstanding or held in the treasury of the corporation immediately prior to the time this amendment becomes effective shall be reclassified and changed into and shall constitute one-half (1/2) of one fully paid and nonassessable share of Preferred Stock, in each case without the necessity of further action of any kind (the “Reverse Split”). Any fractional shares remaining after applying the Reverse Split to each certificate representing shares of Common Stock or Preferred Stock then held by any holder shall be redeemed at a purchase price equal to the closing bid price of the Common Stock on the Nasdaq National Market on the effective date of the Reverse Split. Shares of capital stock that were outstanding prior to the Reverse Split, and that are not outstanding after and as a result of the Reverse Split, shall resume the status of authorized but unissued shares of Common Stock or Preferred Stock, as the case may be.”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The capital of the corporation will not be reduced under or by reason of the foregoing amendment.</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Certificate is hereby executed by the undersigned on June 30, 2003.</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NTUITIVE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URGICAL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Lonnie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Lonnie M. Smith</w:t>
      </w:r>
    </w:p>
    <w:p>
      <w:pPr>
        <w:spacing w:after="0" w:line="15" w:lineRule="exact"/>
        <w:rPr>
          <w:sz w:val="20"/>
          <w:szCs w:val="20"/>
          <w:color w:val="auto"/>
        </w:rPr>
      </w:pPr>
    </w:p>
    <w:p>
      <w:pPr>
        <w:jc w:val="right"/>
        <w:ind w:right="319"/>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5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59"/>
          </w:cols>
          <w:pgMar w:left="700" w:top="280"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14.1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NTUITIVE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URGICAL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Policy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policy of the Board of Directors (the “Board”) of Intuitive Surgical, Inc. (the “Company”) was adopted by the Committee on June 19, 2003.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9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The Intuitive Surgical, Inc. Code of Business Conduct and Ethics (the “Code”), along with the Company’s Statement of Purpose, describe the core values and beliefs of the Company and provide the foundation for all business conduct. Our guidelines for conducting Company business are consistent with the highest standards of business ethics. If you have any questions about these guidelines, please contact a Compliance Officer or the 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Policy</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This Code applies to all of our directors, officers, employees, and agents, whether they work for Intuitive on a full-time, part-time, consultative, or temporary basis. We refer to all persons covered by this Code as “employees.”</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Board of Directors has appointed two Compliance Officers for Intuitive, the Corporate Counsel and the head of Human Resources. If you have doubts about whether company conduct is consistent with Intuitive’s high ethical standards, contact one of these Compliance Officers.</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All Intuitive employees have a duty to report any known or suspected violation of this Code, including any violation of laws, rules, regulations or policies that apply to Intuitive. Reporting a known or suspected violation of this Code by others will not be considered an act of disloyalty, but an action to safeguard the reputation and integrity of Intuitive and its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Conflict of Interest</w:t>
      </w:r>
    </w:p>
    <w:p>
      <w:pPr>
        <w:spacing w:after="0" w:line="9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A conflict of interest occurs when an employee’s private interests interfere, or appear to interfere, in any way with the interests of Intuitive. Employees must avoid any private interest that may influence your ability to act in the interests of Intuitive or that may make it difficult to perform your work objectively and effectively. As a guideline, ask yourself:</w:t>
      </w:r>
    </w:p>
    <w:p>
      <w:pPr>
        <w:spacing w:after="0" w:line="59"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it legal?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it honest and fair?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it in the best interests of Intuitive?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Would you be embarrassed to read about it in the local newspaper?</w:t>
      </w:r>
    </w:p>
    <w:p>
      <w:pPr>
        <w:spacing w:after="0" w:line="17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Intuitive requires that employees disclose to a Compliance Officer any situations that could give rise to a conflict of interest. For example, we require disclosure of any family members who are pursuing business with Intuitive and family members who are employed by certain companies (“Restricted Companies” posted on our Intranet.) See Exhibit A for specific examples of conflicts of interest. If you are not sure whether there is a conflict, please discuss your issue or concerns with a Compliance Officer.</w:t>
      </w:r>
    </w:p>
    <w:p>
      <w:pPr>
        <w:spacing w:after="0" w:line="137" w:lineRule="exact"/>
        <w:rPr>
          <w:sz w:val="20"/>
          <w:szCs w:val="20"/>
          <w:color w:val="auto"/>
        </w:rPr>
      </w:pPr>
    </w:p>
    <w:p>
      <w:pPr>
        <w:jc w:val="both"/>
        <w:ind w:right="140"/>
        <w:spacing w:after="0" w:line="310" w:lineRule="auto"/>
        <w:rPr>
          <w:sz w:val="20"/>
          <w:szCs w:val="20"/>
          <w:color w:val="auto"/>
        </w:rPr>
      </w:pPr>
      <w:r>
        <w:rPr>
          <w:rFonts w:ascii="Arial" w:cs="Arial" w:eastAsia="Arial" w:hAnsi="Arial"/>
          <w:sz w:val="16"/>
          <w:szCs w:val="16"/>
          <w:b w:val="1"/>
          <w:bCs w:val="1"/>
          <w:color w:val="auto"/>
        </w:rPr>
        <w:t xml:space="preserve">B. Protection and Use of Company Assets </w:t>
      </w:r>
      <w:r>
        <w:rPr>
          <w:rFonts w:ascii="Arial" w:cs="Arial" w:eastAsia="Arial" w:hAnsi="Arial"/>
          <w:sz w:val="16"/>
          <w:szCs w:val="16"/>
          <w:color w:val="auto"/>
        </w:rPr>
        <w:t>Intuitive employees should protect Intuitive’s assets and ensure their efficient use for legitimate business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Theft, carelessness, and waste have a direct impact on Intuitive’s profitability. The use of the funds or assets of Intuitive for any unlawful or improper purpose is strictly prohibited. To ensure the protection and proper use of Intuitive’s assets, each Intuitive employee should:</w:t>
      </w:r>
    </w:p>
    <w:p>
      <w:pPr>
        <w:spacing w:after="0" w:line="22"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exercise reasonable care to prevent theft, damage or misuse of Intuitive property, whether tangible, intangible or intellectual;</w:t>
      </w:r>
    </w:p>
    <w:p>
      <w:pPr>
        <w:sectPr>
          <w:pgSz w:w="11900" w:h="16838" w:orient="portrait"/>
          <w:cols w:equalWidth="0" w:num="1">
            <w:col w:w="11420"/>
          </w:cols>
          <w:pgMar w:left="240" w:top="125" w:right="239" w:bottom="1440" w:gutter="0" w:footer="0" w:header="0"/>
        </w:sectPr>
      </w:pPr>
    </w:p>
    <w:bookmarkStart w:id="117" w:name="page118"/>
    <w:bookmarkEnd w:id="117"/>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report the actual or suspected theft, damage or misuse of Intuitive property;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safeguard all electronic programs, data, communications and written materials from inadvertent access by others;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use Intuitive property only for legitimate business purposes.</w:t>
      </w:r>
    </w:p>
    <w:p>
      <w:pPr>
        <w:spacing w:after="0" w:line="165" w:lineRule="exact"/>
        <w:rPr>
          <w:rFonts w:ascii="Arial" w:cs="Arial" w:eastAsia="Arial" w:hAnsi="Arial"/>
          <w:sz w:val="18"/>
          <w:szCs w:val="18"/>
          <w:color w:val="auto"/>
        </w:rPr>
      </w:pPr>
    </w:p>
    <w:p>
      <w:pPr>
        <w:ind w:right="260" w:firstLine="8"/>
        <w:spacing w:after="0" w:line="296" w:lineRule="auto"/>
        <w:tabs>
          <w:tab w:leader="none" w:pos="21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Gifts and Entertainment </w:t>
      </w:r>
      <w:r>
        <w:rPr>
          <w:rFonts w:ascii="Arial" w:cs="Arial" w:eastAsia="Arial" w:hAnsi="Arial"/>
          <w:sz w:val="16"/>
          <w:szCs w:val="16"/>
          <w:color w:val="auto"/>
        </w:rPr>
        <w:t>Employees should refrain from soliciting or accepting money, loans, credits, or prejudicial discounts, and the acceptance of gifts,</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favors, or services from present or potential suppliers that might influence or appear to influence purchasing decisions. Customer gifts and entertainment should never compromise, or appear to compromise, your ability to make objective and fair business decisions. Employees may give gifts or entertain customers only if the gift or entertainment could not be viewed as an inducement to any particular business decision. All gifts and entertainment expenses must be disclosed to your supervisor and typically on company expense reports.</w:t>
      </w:r>
    </w:p>
    <w:p>
      <w:pPr>
        <w:spacing w:after="0" w:line="107" w:lineRule="exact"/>
        <w:rPr>
          <w:rFonts w:ascii="Arial" w:cs="Arial" w:eastAsia="Arial" w:hAnsi="Arial"/>
          <w:sz w:val="16"/>
          <w:szCs w:val="16"/>
          <w:b w:val="1"/>
          <w:bCs w:val="1"/>
          <w:color w:val="auto"/>
        </w:rPr>
      </w:pPr>
    </w:p>
    <w:p>
      <w:pPr>
        <w:ind w:firstLine="8"/>
        <w:spacing w:after="0" w:line="293" w:lineRule="auto"/>
        <w:tabs>
          <w:tab w:leader="none" w:pos="21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Intuitive employees have access to a variety of confidential information. Confidential information includes all non-public</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that might be of use to competitors or members of the public, or potentially harmful to Intuitive or its customers, if disclosed. Such information also includes news that has not yet been released but that would greatly benefit Intuitive in the public’s eye. Unauthorized disclosure of confidential information could cause competitive harm to Intuitive and could result in legal liability to you and Intuitive. Employees have a duty to safeguard all confidential information, except when disclosure is authorized or legally mandated. Each employee is required and expected to execute the Employee Proprietary Information and Inventions Agreement and to abide by all of the provisions in that Agreement, including all of the provisions concerning the protection of Company confidential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Any question or concern regarding whether disclosure of Intuitive information is legally mandated should be promptly referred to a Compliance Officer.</w:t>
      </w:r>
    </w:p>
    <w:p>
      <w:pPr>
        <w:spacing w:after="0" w:line="18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color w:val="auto"/>
        </w:rPr>
        <w:t xml:space="preserve">E. Accuracy of Financial Reports and Other Public Communications </w:t>
      </w:r>
      <w:r>
        <w:rPr>
          <w:rFonts w:ascii="Arial" w:cs="Arial" w:eastAsia="Arial" w:hAnsi="Arial"/>
          <w:sz w:val="16"/>
          <w:szCs w:val="16"/>
          <w:color w:val="auto"/>
        </w:rPr>
        <w:t>Intuitive is a public company and is required to report its financial results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about its business to the public and the Securities and Exchange Commission. Intuitive is subject to various securities laws and regulations. Our policy is to promptly disclose accurate and complete information regarding company business, financial condition, and results of operations. Employees must understand and strictly comply with generally accepted accounting principles as adopted by Intuitive and all standards, laws and regulations for accounting and financial reporting of transactions, estimates and forecasts. Inaccurate, incomplete or untimely reporting can severely damage Intuitive or result in legal liability and will not be tolerated. Intuitive employees should be on guard for, and promptly report, any possibility of inaccurate or incomplete financial reporting. Particular attention should be paid to:</w:t>
      </w:r>
    </w:p>
    <w:p>
      <w:pPr>
        <w:spacing w:after="0" w:line="38"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results that seem inconsistent with the performance of the underlying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transactions that do not seem to have an obvious business purpose;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requests to circumvent ordinary review and approval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Intuitive’s senior financial officers have a special responsibility to ensure that all of our financial disclosures are full, fair, accurate, timely and understandable.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practice or situation that might undermine this objective should be reported to a Compliance Officer.</w:t>
      </w:r>
    </w:p>
    <w:p>
      <w:pPr>
        <w:spacing w:after="0" w:line="15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F. Intuitive Records </w:t>
      </w:r>
      <w:r>
        <w:rPr>
          <w:rFonts w:ascii="Arial" w:cs="Arial" w:eastAsia="Arial" w:hAnsi="Arial"/>
          <w:sz w:val="18"/>
          <w:szCs w:val="18"/>
          <w:color w:val="auto"/>
        </w:rPr>
        <w:t>Accurate and reliable records are crucial to our business and form the basis of our earnings statements, financial reports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disclosures to the public. Our records are the source of essential data that guide business decision-making and strategic planning. All Intuitive records must be complete, accurate and reliable in all material respects. There is never an acceptable reason to make false or misleading entries. Undisclosed or unrecorded funds, payments, or receipts are strictly prohibited. You are responsible for understanding and complying with our record keeping policy. Contact a Compliance Officer if you have any questions.</w:t>
      </w:r>
    </w:p>
    <w:p>
      <w:pPr>
        <w:sectPr>
          <w:pgSz w:w="11900" w:h="16838" w:orient="portrait"/>
          <w:cols w:equalWidth="0" w:num="1">
            <w:col w:w="11420"/>
          </w:cols>
          <w:pgMar w:left="240" w:top="280" w:right="239" w:bottom="1440" w:gutter="0" w:footer="0" w:header="0"/>
        </w:sectPr>
      </w:pPr>
    </w:p>
    <w:bookmarkStart w:id="118" w:name="page119"/>
    <w:bookmarkEnd w:id="118"/>
    <w:p>
      <w:pPr>
        <w:ind w:right="6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 Compliance with Laws and Regulations </w:t>
      </w:r>
      <w:r>
        <w:rPr>
          <w:rFonts w:ascii="Arial" w:cs="Arial" w:eastAsia="Arial" w:hAnsi="Arial"/>
          <w:sz w:val="16"/>
          <w:szCs w:val="16"/>
          <w:color w:val="auto"/>
        </w:rPr>
        <w:t>Each Intuitive employee has an obligation to comply with the laws of the cities, states and countries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Intuitive operates. We will not tolerate any activity that violates any laws, rules, or regulations applicable to Intuitive. This includes, without limitation, laws covering commercial bribery and kickbacks, copyrights, trademarks and trade secrets, protection of third party/former employer confidential information, information privacy, insider trading, illegal political contributions, antitrust prohibitions, foreign corrupt practices, offering or receiving gratuities, environmental hazards, employment discrimination or harassment, occupational health and safety, false or misleading financial information or misuse of corporate assets. Employees are expected to understand and comply with all laws, rules and regulations that apply to your position in Intuitive. If any doubt exists about whether a course of action is lawful, you should seek advice immediately from a Compliance Officer.</w:t>
      </w:r>
    </w:p>
    <w:p>
      <w:pPr>
        <w:spacing w:after="0" w:line="11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H. Political Contributions and Activities </w:t>
      </w:r>
      <w:r>
        <w:rPr>
          <w:rFonts w:ascii="Arial" w:cs="Arial" w:eastAsia="Arial" w:hAnsi="Arial"/>
          <w:sz w:val="16"/>
          <w:szCs w:val="16"/>
          <w:color w:val="auto"/>
        </w:rPr>
        <w:t>Intuitive encourages its employees to participate in the political process as individuals. Employees should be careful to</w:t>
      </w:r>
      <w:r>
        <w:rPr>
          <w:rFonts w:ascii="Arial" w:cs="Arial" w:eastAsia="Arial" w:hAnsi="Arial"/>
          <w:sz w:val="16"/>
          <w:szCs w:val="16"/>
          <w:b w:val="1"/>
          <w:bCs w:val="1"/>
          <w:color w:val="auto"/>
        </w:rPr>
        <w:t xml:space="preserve"> </w:t>
      </w:r>
      <w:r>
        <w:rPr>
          <w:rFonts w:ascii="Arial" w:cs="Arial" w:eastAsia="Arial" w:hAnsi="Arial"/>
          <w:sz w:val="16"/>
          <w:szCs w:val="16"/>
          <w:color w:val="auto"/>
        </w:rPr>
        <w:t>make it clear that their political views and actions are their own, and not made on behalf of Intuitive. Intuitive funds or assets shall not be used to make a political contribution to any political party or candidate, unless prior approval has been given by a Compliance Officer.</w:t>
      </w:r>
    </w:p>
    <w:p>
      <w:pPr>
        <w:spacing w:after="0" w:line="97" w:lineRule="exact"/>
        <w:rPr>
          <w:sz w:val="20"/>
          <w:szCs w:val="20"/>
          <w:color w:val="auto"/>
        </w:rPr>
      </w:pPr>
    </w:p>
    <w:p>
      <w:pPr>
        <w:ind w:right="40" w:firstLine="8"/>
        <w:spacing w:after="0" w:line="287" w:lineRule="auto"/>
        <w:tabs>
          <w:tab w:leader="none" w:pos="293"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Procedures for Reporting Violations of the Code </w:t>
      </w:r>
      <w:r>
        <w:rPr>
          <w:rFonts w:ascii="Arial" w:cs="Arial" w:eastAsia="Arial" w:hAnsi="Arial"/>
          <w:sz w:val="16"/>
          <w:szCs w:val="16"/>
          <w:color w:val="auto"/>
        </w:rPr>
        <w:t>All Intuitive employees have a duty to report any known or suspected violation of this Code,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violation of laws, rules, regulations or policies that apply to Intuitive. Reporting a known or suspected violation of this Code by others will not be considered an act of disloyalty, but an action to safeguard the reputation and integrity of Intuitive and its employees. If you know of or suspect a violation of this Code, it is your responsibility to immediately report the conduct to a Compliance Officer, who will work with you to investigate your concern. All questions and reports of known or suspected violations of this Code will be treated with sensitivity and discretion. The Compliance Officer and Intuitive will protect your confidentiality to the extent possible, consistent with the law and Intuitive’s need to investigate your concern. It is Intuitive’s policy that any employee who violates this Code will be subject to appropriate discipline, including potential termination of employment, based upon the facts and circumstances of each particular situation. Your conduct as an employee of Intuitive, if it does not comply with the law or with this Code, can result in serious consequences for both you and Intuitive. Intuitive strictly prohibits retaliation against an employee who, in good faith, seeks help or reports known or suspected violations. An employee inflicting reprisal or retaliation against another employee for reporting a known or suspected violation, will be subject to disciplinary action up to and including termination of employment.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Examples of Conflicts of Interest:</w:t>
      </w:r>
    </w:p>
    <w:p>
      <w:pPr>
        <w:spacing w:after="0" w:line="96" w:lineRule="exact"/>
        <w:rPr>
          <w:sz w:val="20"/>
          <w:szCs w:val="20"/>
          <w:color w:val="auto"/>
        </w:rPr>
      </w:pPr>
    </w:p>
    <w:p>
      <w:pPr>
        <w:ind w:left="900" w:right="52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Outside Employment. Intuitive strongly discourages outside employment, and prohibits outside employment by a business that competes with Intuitive or deprives Intuitive of any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Improper Personal Benefits. No Intuitive employee may obtain improper personal benefits or favors because of his or her position with Intuitive.</w:t>
      </w:r>
    </w:p>
    <w:p>
      <w:pPr>
        <w:spacing w:after="0" w:line="113" w:lineRule="exact"/>
        <w:rPr>
          <w:rFonts w:ascii="Arial" w:cs="Arial" w:eastAsia="Arial" w:hAnsi="Arial"/>
          <w:sz w:val="16"/>
          <w:szCs w:val="16"/>
          <w:color w:val="auto"/>
        </w:rPr>
      </w:pPr>
    </w:p>
    <w:p>
      <w:pPr>
        <w:ind w:left="900" w:right="180" w:hanging="446"/>
        <w:spacing w:after="0" w:line="25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Corporate Opportunity. No Intuitive employee may use corporate property or information, or his or her position with Intuitive, to secure a personal business opportunity. If you discover a business opportunity through the use of corporate property, information, or through your position that is in Intuitive’s line of business, you must first present the business opportunity to Intuitive before pursuing the opportunity in your personal individual capacity.</w:t>
      </w:r>
    </w:p>
    <w:p>
      <w:pPr>
        <w:spacing w:after="0" w:line="6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Interests. No Intuitive employee may have any financial interest (ownership or otherwise), either directly or indirectly through a spouse or other family member, in any other business enterprise if that interest adversely affects the employee’s performance of duties or responsibilities to Intuitive.</w:t>
      </w:r>
    </w:p>
    <w:p>
      <w:pPr>
        <w:spacing w:after="0" w:line="59"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Loans or Other Financial Transactions. No Intuitive employee may obtain loans or guarantees of personal obligations from any company that is a material customer, supplier or competitor of Intuitive. This guideline does not prohibit arms-length transactions with recognized banks or other financial institutions.</w:t>
      </w:r>
    </w:p>
    <w:p>
      <w:pPr>
        <w:sectPr>
          <w:pgSz w:w="11900" w:h="16838" w:orient="portrait"/>
          <w:cols w:equalWidth="0" w:num="1">
            <w:col w:w="11400"/>
          </w:cols>
          <w:pgMar w:left="240" w:top="274" w:right="259" w:bottom="1440" w:gutter="0" w:footer="0" w:header="0"/>
        </w:sectPr>
      </w:pPr>
    </w:p>
    <w:bookmarkStart w:id="119" w:name="page120"/>
    <w:bookmarkEnd w:id="119"/>
    <w:p>
      <w:pPr>
        <w:jc w:val="both"/>
        <w:ind w:left="446" w:hanging="446"/>
        <w:spacing w:after="0" w:line="256" w:lineRule="auto"/>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on Boards and Committees. No Intuitive employee should serve on a board of directors or trustees or on a committee of any entity (whether profit or not-for-profit) whose interests reasonably could be expected to conflict with those of Intuitive. Employees must obtain prior approval from the Board of Directors before accepting any such board or committee position. Intuitive may revisit its approval of any such position at any time to determine whether service in such position is still appropriate.</w:t>
      </w:r>
    </w:p>
    <w:p>
      <w:pPr>
        <w:sectPr>
          <w:pgSz w:w="11900" w:h="16838" w:orient="portrait"/>
          <w:cols w:equalWidth="0" w:num="1">
            <w:col w:w="10846"/>
          </w:cols>
          <w:pgMar w:left="694" w:top="280" w:right="35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INTUITIVE SURGICAL,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(All 100% Owned)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Subsidiaries of the Registrant</w:t>
            </w:r>
          </w:p>
        </w:tc>
        <w:tc>
          <w:tcPr>
            <w:tcW w:w="2700" w:type="dxa"/>
            <w:vAlign w:val="bottom"/>
          </w:tcPr>
          <w:p>
            <w:pPr>
              <w:spacing w:after="0"/>
              <w:rPr>
                <w:sz w:val="20"/>
                <w:szCs w:val="20"/>
                <w:color w:val="auto"/>
              </w:rPr>
            </w:pPr>
            <w:r>
              <w:rPr>
                <w:rFonts w:ascii="Arial" w:cs="Arial" w:eastAsia="Arial" w:hAnsi="Arial"/>
                <w:sz w:val="14"/>
                <w:szCs w:val="14"/>
                <w:b w:val="1"/>
                <w:bCs w:val="1"/>
                <w:color w:val="auto"/>
                <w:w w:val="93"/>
              </w:rPr>
              <w:t>State or Other Jurisdiction of Incorporation</w:t>
            </w:r>
          </w:p>
        </w:tc>
      </w:tr>
      <w:tr>
        <w:trPr>
          <w:trHeight w:val="201"/>
        </w:trPr>
        <w:tc>
          <w:tcPr>
            <w:tcW w:w="1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3"/>
              </w:rPr>
              <w:t>Intuitive Surgical Holdings,</w:t>
            </w:r>
          </w:p>
        </w:tc>
        <w:tc>
          <w:tcPr>
            <w:tcW w:w="4160" w:type="dxa"/>
            <w:vAlign w:val="bottom"/>
          </w:tcPr>
          <w:p>
            <w:pPr>
              <w:ind w:left="200"/>
              <w:spacing w:after="0" w:line="201" w:lineRule="exact"/>
              <w:rPr>
                <w:sz w:val="20"/>
                <w:szCs w:val="20"/>
                <w:color w:val="auto"/>
              </w:rPr>
            </w:pPr>
            <w:r>
              <w:rPr>
                <w:rFonts w:ascii="Arial" w:cs="Arial" w:eastAsia="Arial" w:hAnsi="Arial"/>
                <w:sz w:val="18"/>
                <w:szCs w:val="18"/>
                <w:color w:val="auto"/>
              </w:rPr>
              <w:t>Inc.</w:t>
            </w:r>
          </w:p>
        </w:tc>
        <w:tc>
          <w:tcPr>
            <w:tcW w:w="2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Delaware, US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Endonav, Inc.</w:t>
            </w:r>
          </w:p>
        </w:tc>
        <w:tc>
          <w:tcPr>
            <w:tcW w:w="2700" w:type="dxa"/>
            <w:vAlign w:val="bottom"/>
          </w:tcPr>
          <w:p>
            <w:pPr>
              <w:spacing w:after="0"/>
              <w:rPr>
                <w:sz w:val="20"/>
                <w:szCs w:val="20"/>
                <w:color w:val="auto"/>
              </w:rPr>
            </w:pPr>
            <w:r>
              <w:rPr>
                <w:rFonts w:ascii="Arial" w:cs="Arial" w:eastAsia="Arial" w:hAnsi="Arial"/>
                <w:sz w:val="18"/>
                <w:szCs w:val="18"/>
                <w:color w:val="auto"/>
              </w:rPr>
              <w:t>Delaware, US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INTUITIVE SURGICAL, S. DE R.L. DE C.V.</w:t>
            </w:r>
          </w:p>
        </w:tc>
        <w:tc>
          <w:tcPr>
            <w:tcW w:w="270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Intuitive Surgical Sarl</w:t>
            </w:r>
          </w:p>
        </w:tc>
        <w:tc>
          <w:tcPr>
            <w:tcW w:w="2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Intuitive Surgical International Ltd.</w:t>
            </w:r>
          </w:p>
        </w:tc>
        <w:tc>
          <w:tcPr>
            <w:tcW w:w="2700" w:type="dxa"/>
            <w:vAlign w:val="bottom"/>
          </w:tcPr>
          <w:p>
            <w:pPr>
              <w:spacing w:after="0"/>
              <w:rPr>
                <w:sz w:val="20"/>
                <w:szCs w:val="20"/>
                <w:color w:val="auto"/>
              </w:rPr>
            </w:pPr>
            <w:r>
              <w:rPr>
                <w:rFonts w:ascii="Arial" w:cs="Arial" w:eastAsia="Arial" w:hAnsi="Arial"/>
                <w:sz w:val="18"/>
                <w:szCs w:val="18"/>
                <w:color w:val="auto"/>
              </w:rPr>
              <w:t>Cayman</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Intuitive Surgical S.A.S.</w:t>
            </w:r>
          </w:p>
        </w:tc>
        <w:tc>
          <w:tcPr>
            <w:tcW w:w="27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Intuitive Surgical GmbH</w:t>
            </w:r>
          </w:p>
        </w:tc>
        <w:tc>
          <w:tcPr>
            <w:tcW w:w="27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Intuitive Surgical SPRL</w:t>
            </w:r>
          </w:p>
        </w:tc>
        <w:tc>
          <w:tcPr>
            <w:tcW w:w="2700" w:type="dxa"/>
            <w:vAlign w:val="bottom"/>
          </w:tcPr>
          <w:p>
            <w:pPr>
              <w:spacing w:after="0"/>
              <w:rPr>
                <w:sz w:val="20"/>
                <w:szCs w:val="20"/>
                <w:color w:val="auto"/>
              </w:rPr>
            </w:pPr>
            <w:r>
              <w:rPr>
                <w:rFonts w:ascii="Arial" w:cs="Arial" w:eastAsia="Arial" w:hAnsi="Arial"/>
                <w:sz w:val="18"/>
                <w:szCs w:val="18"/>
                <w:color w:val="auto"/>
              </w:rPr>
              <w:t>Belgium</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Intuitive Surgical Limited</w:t>
            </w:r>
          </w:p>
        </w:tc>
        <w:tc>
          <w:tcPr>
            <w:tcW w:w="2700" w:type="dxa"/>
            <w:vAlign w:val="bottom"/>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on Form S-8 (Nos. 333-43558, 333-65342, 333-99893, 333-116499, 333-127612, 333-135004, 333-143433 and 333-152558) pertaining to the Intuitive Surgical 2000 Equity Incentive Plan, 2000 Non-Employee Directors’ Stock Option Plan and 2000 Employee Stock Purchase Plan, and Form S-3 (Nos. 333-110229 and 333-110972) of our reports dated February 4, 2009, with respect to the consolidated financial statements and schedule of Intuitive Surgical, Inc., and the effectiveness of internal control over financial reporting of Intuitive Surgical, Inc., included in this Annual Report (Form 10-K) for the year ended December 31, 2008.</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4, 2009</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Lonnie M. Smith, certify that:</w:t>
      </w:r>
    </w:p>
    <w:p>
      <w:pPr>
        <w:spacing w:after="0" w:line="90"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2009</w:t>
      </w:r>
    </w:p>
    <w:p>
      <w:pPr>
        <w:spacing w:after="0" w:line="212" w:lineRule="exact"/>
        <w:rPr>
          <w:sz w:val="20"/>
          <w:szCs w:val="20"/>
          <w:color w:val="auto"/>
        </w:rPr>
      </w:pPr>
    </w:p>
    <w:p>
      <w:pPr>
        <w:ind w:left="686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L</w:t>
      </w:r>
      <w:r>
        <w:rPr>
          <w:rFonts w:ascii="Arial" w:cs="Arial" w:eastAsia="Arial" w:hAnsi="Arial"/>
          <w:sz w:val="14"/>
          <w:szCs w:val="14"/>
          <w:color w:val="auto"/>
        </w:rPr>
        <w:t>ONNIE</w:t>
      </w:r>
      <w:r>
        <w:rPr>
          <w:rFonts w:ascii="Arial" w:cs="Arial" w:eastAsia="Arial" w:hAnsi="Arial"/>
          <w:sz w:val="18"/>
          <w:szCs w:val="18"/>
          <w:color w:val="auto"/>
        </w:rPr>
        <w:t xml:space="preserve"> M. S</w:t>
      </w:r>
      <w:r>
        <w:rPr>
          <w:rFonts w:ascii="Arial" w:cs="Arial" w:eastAsia="Arial" w:hAnsi="Arial"/>
          <w:sz w:val="14"/>
          <w:szCs w:val="14"/>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Lonnie M. Smith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Marshall L. Mohr, certify that:</w:t>
      </w:r>
    </w:p>
    <w:p>
      <w:pPr>
        <w:spacing w:after="0" w:line="90"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2009</w:t>
      </w:r>
    </w:p>
    <w:p>
      <w:pPr>
        <w:spacing w:after="0" w:line="212"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ARSHALL</w:t>
      </w:r>
      <w:r>
        <w:rPr>
          <w:rFonts w:ascii="Arial" w:cs="Arial" w:eastAsia="Arial" w:hAnsi="Arial"/>
          <w:sz w:val="18"/>
          <w:szCs w:val="18"/>
          <w:color w:val="auto"/>
        </w:rPr>
        <w:t xml:space="preserve"> L. M</w:t>
      </w:r>
      <w:r>
        <w:rPr>
          <w:rFonts w:ascii="Arial" w:cs="Arial" w:eastAsia="Arial" w:hAnsi="Arial"/>
          <w:sz w:val="14"/>
          <w:szCs w:val="14"/>
          <w:color w:val="auto"/>
        </w:rPr>
        <w:t>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Marshall L. Mohr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to such officer’s knowledge, that:</w:t>
      </w:r>
    </w:p>
    <w:p>
      <w:pPr>
        <w:spacing w:after="0" w:line="51" w:lineRule="exact"/>
        <w:rPr>
          <w:sz w:val="20"/>
          <w:szCs w:val="20"/>
          <w:color w:val="auto"/>
        </w:rPr>
      </w:pPr>
    </w:p>
    <w:p>
      <w:pPr>
        <w:ind w:left="900" w:right="32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period ended December 31, 2008 (the “</w:t>
      </w:r>
      <w:r>
        <w:rPr>
          <w:rFonts w:ascii="Arial" w:cs="Arial" w:eastAsia="Arial" w:hAnsi="Arial"/>
          <w:sz w:val="16"/>
          <w:szCs w:val="16"/>
          <w:u w:val="single" w:color="auto"/>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tab/>
        <w:t>L</w:t>
      </w:r>
      <w:r>
        <w:rPr>
          <w:rFonts w:ascii="Arial" w:cs="Arial" w:eastAsia="Arial" w:hAnsi="Arial"/>
          <w:sz w:val="14"/>
          <w:szCs w:val="14"/>
          <w:color w:val="auto"/>
        </w:rPr>
        <w:t>ONNIE</w:t>
      </w:r>
      <w:r>
        <w:rPr>
          <w:rFonts w:ascii="Arial" w:cs="Arial" w:eastAsia="Arial" w:hAnsi="Arial"/>
          <w:sz w:val="18"/>
          <w:szCs w:val="18"/>
          <w:color w:val="auto"/>
        </w:rPr>
        <w:t xml:space="preserve"> M. S</w:t>
      </w:r>
      <w:r>
        <w:rPr>
          <w:rFonts w:ascii="Arial" w:cs="Arial" w:eastAsia="Arial" w:hAnsi="Arial"/>
          <w:sz w:val="14"/>
          <w:szCs w:val="14"/>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Lonnie M. Smith</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February 6, 2009</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to such officer’s knowledge, that:</w:t>
      </w:r>
    </w:p>
    <w:p>
      <w:pPr>
        <w:spacing w:after="0" w:line="51" w:lineRule="exact"/>
        <w:rPr>
          <w:sz w:val="20"/>
          <w:szCs w:val="20"/>
          <w:color w:val="auto"/>
        </w:rPr>
      </w:pPr>
    </w:p>
    <w:p>
      <w:pPr>
        <w:ind w:left="900" w:right="320" w:hanging="446"/>
        <w:spacing w:after="0" w:line="332"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period ended December 31, 2008 (the “</w:t>
      </w:r>
      <w:r>
        <w:rPr>
          <w:rFonts w:ascii="Arial" w:cs="Arial" w:eastAsia="Arial" w:hAnsi="Arial"/>
          <w:sz w:val="16"/>
          <w:szCs w:val="16"/>
          <w:u w:val="single" w:color="auto"/>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00"/>
        <w:spacing w:after="0"/>
        <w:tabs>
          <w:tab w:leader="none" w:pos="15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ARSHALL</w:t>
      </w:r>
      <w:r>
        <w:rPr>
          <w:rFonts w:ascii="Arial" w:cs="Arial" w:eastAsia="Arial" w:hAnsi="Arial"/>
          <w:sz w:val="18"/>
          <w:szCs w:val="18"/>
          <w:color w:val="auto"/>
        </w:rPr>
        <w:t xml:space="preserve"> L. M</w:t>
      </w:r>
      <w:r>
        <w:rPr>
          <w:rFonts w:ascii="Arial" w:cs="Arial" w:eastAsia="Arial" w:hAnsi="Arial"/>
          <w:sz w:val="14"/>
          <w:szCs w:val="14"/>
          <w:color w:val="auto"/>
        </w:rPr>
        <w:t>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Marshall L. Mohr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February 6,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lowerRoman"/>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1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1)"/>
      <w:numFmt w:val="lowerLetter"/>
      <w:start w:val="1"/>
    </w:lvl>
    <w:lvl w:ilvl="1">
      <w:lvlJc w:val="left"/>
      <w:lvlText w:val="%2)"/>
      <w:numFmt w:val="decimal"/>
      <w:start w:val="1"/>
    </w:lvl>
  </w:abstractNum>
  <w:abstractNum w:abstractNumId="50">
    <w:nsid w:val="61574095"/>
    <w:multiLevelType w:val="hybridMultilevel"/>
    <w:lvl w:ilvl="0">
      <w:lvlJc w:val="left"/>
      <w:lvlText w:val="\emdash "/>
      <w:numFmt w:val="bullet"/>
      <w:start w:val="1"/>
    </w:lvl>
  </w:abstractNum>
  <w:abstractNum w:abstractNumId="51">
    <w:nsid w:val="7E0C57B1"/>
    <w:multiLevelType w:val="hybridMultilevel"/>
    <w:lvl w:ilvl="0">
      <w:lvlJc w:val="left"/>
      <w:lvlText w:val="%1)"/>
      <w:numFmt w:val="decimal"/>
      <w:start w:val="3"/>
    </w:lvl>
  </w:abstractNum>
  <w:abstractNum w:abstractNumId="52">
    <w:nsid w:val="77AE35EB"/>
    <w:multiLevelType w:val="hybridMultilevel"/>
    <w:lvl w:ilvl="0">
      <w:lvlJc w:val="left"/>
      <w:lvlText w:val="(%1)"/>
      <w:numFmt w:val="lowerLetter"/>
      <w:start w:val="2"/>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2"/>
    </w:lvl>
  </w:abstractNum>
  <w:abstractNum w:abstractNumId="55">
    <w:nsid w:val="5FF87E05"/>
    <w:multiLevelType w:val="hybridMultilevel"/>
    <w:lvl w:ilvl="0">
      <w:lvlJc w:val="left"/>
      <w:lvlText w:val="%1"/>
      <w:numFmt w:val="lowerRoman"/>
      <w:start w:val="1"/>
    </w:lvl>
    <w:lvl w:ilvl="1">
      <w:lvlJc w:val="left"/>
      <w:lvlText w:val="%2."/>
      <w:numFmt w:val="decimal"/>
      <w:start w:val="1"/>
    </w:lvl>
  </w:abstractNum>
  <w:abstractNum w:abstractNumId="56">
    <w:nsid w:val="2F305DEF"/>
    <w:multiLevelType w:val="hybridMultilevel"/>
    <w:lvl w:ilvl="0">
      <w:lvlJc w:val="left"/>
      <w:lvlText w:val="(%1)"/>
      <w:numFmt w:val="lowerRoman"/>
      <w:start w:val="2"/>
    </w:lvl>
    <w:lvl w:ilvl="1">
      <w:lvlJc w:val="left"/>
      <w:lvlText w:val="%2"/>
      <w:numFmt w:val="decimal"/>
      <w:start w:val="1"/>
    </w:lvl>
  </w:abstractNum>
  <w:abstractNum w:abstractNumId="57">
    <w:nsid w:val="25A70BF7"/>
    <w:multiLevelType w:val="hybridMultilevel"/>
    <w:lvl w:ilvl="0">
      <w:lvlJc w:val="left"/>
      <w:lvlText w:val="%1"/>
      <w:numFmt w:val="upperLetter"/>
      <w:start w:val="1"/>
    </w:lvl>
    <w:lvl w:ilvl="1">
      <w:lvlJc w:val="left"/>
      <w:lvlText w:val="%2."/>
      <w:numFmt w:val="decimal"/>
      <w:start w:val="1"/>
    </w:lvl>
  </w:abstractNum>
  <w:abstractNum w:abstractNumId="58">
    <w:nsid w:val="1DBABF00"/>
    <w:multiLevelType w:val="hybridMultilevel"/>
    <w:lvl w:ilvl="0">
      <w:lvlJc w:val="left"/>
      <w:lvlText w:val="%1."/>
      <w:numFmt w:val="upperLetter"/>
      <w:start w:val="4"/>
    </w:lvl>
    <w:lvl w:ilvl="1">
      <w:lvlJc w:val="left"/>
      <w:lvlText w:val="%2."/>
      <w:numFmt w:val="decimal"/>
      <w:start w:val="1"/>
    </w:lvl>
  </w:abstractNum>
  <w:abstractNum w:abstractNumId="59">
    <w:nsid w:val="4AD084E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60">
    <w:nsid w:val="1F48EAA1"/>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1."/>
      <w:numFmt w:val="upperLetter"/>
      <w:start w:val="2"/>
    </w:lvl>
    <w:lvl w:ilvl="1">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1."/>
      <w:numFmt w:val="upperLetter"/>
      <w:start w:val="6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lowerRoman"/>
      <w:start w:val="1"/>
    </w:lvl>
  </w:abstractNum>
  <w:abstractNum w:abstractNumId="72">
    <w:nsid w:val="1EBA5D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2019-12-10T15:10:14Z</dcterms:created>
  <dcterms:modified xsi:type="dcterms:W3CDTF">2019-12-10T15:10:14Z</dcterms:modified>
</cp:coreProperties>
</file>