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839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83971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Jeddi Iman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20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INTUITIVE SURGICAL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ISRG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1020 KIFER ROAD</w:t>
            </w:r>
          </w:p>
        </w:tc>
        <w:tc>
          <w:tcPr>
            <w:tcW w:w="12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SUNNYVALE CA</w:t>
            </w:r>
          </w:p>
        </w:tc>
        <w:tc>
          <w:tcPr>
            <w:tcW w:w="124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94086</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8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43"/>
        <w:spacing w:after="0"/>
        <w:rPr>
          <w:sz w:val="20"/>
          <w:szCs w:val="20"/>
          <w:color w:val="auto"/>
        </w:rPr>
      </w:pPr>
      <w:r>
        <w:rPr>
          <w:rFonts w:ascii="Times New Roman" w:cs="Times New Roman" w:eastAsia="Times New Roman" w:hAnsi="Times New Roman"/>
          <w:sz w:val="20"/>
          <w:szCs w:val="20"/>
          <w:color w:val="0000FF"/>
        </w:rPr>
        <w:t>SVP &amp; GM da Vinci Platforms &amp;</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26,649</w:t>
            </w:r>
          </w:p>
        </w:tc>
        <w:tc>
          <w:tcPr>
            <w:tcW w:w="840" w:type="dxa"/>
            <w:vAlign w:val="bottom"/>
          </w:tcPr>
          <w:p>
            <w:pPr>
              <w:ind w:left="760"/>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by Trust</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5440" w:type="dxa"/>
            <w:vAlign w:val="bottom"/>
            <w:tcBorders>
              <w:bottom w:val="single" w:sz="8" w:color="2C2C2C"/>
            </w:tcBorders>
            <w:gridSpan w:val="5"/>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5"/>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6"/>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08/15/2026</w:t>
            </w:r>
          </w:p>
        </w:tc>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5,625</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76.9989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08/28/2029</w:t>
            </w:r>
          </w:p>
        </w:tc>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3,760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208.9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02/27/2030</w:t>
            </w:r>
          </w:p>
        </w:tc>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5,028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229.39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02/28/2029</w:t>
            </w:r>
          </w:p>
        </w:tc>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3,760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290.33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08/09/2030</w:t>
            </w:r>
          </w:p>
        </w:tc>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5,028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304.67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Performance Stock Units - 2-26-2024</w:t>
            </w: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2,702</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Performance Stock Units - 2-28-2023</w:t>
            </w: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5,585</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 - 2-26-2024</w:t>
            </w: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4,865</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 - 2-26-2025</w:t>
            </w: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2,746</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 - 2-28-2022</w:t>
            </w: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49"/>
              <w:spacing w:after="0"/>
              <w:rPr>
                <w:sz w:val="20"/>
                <w:szCs w:val="20"/>
                <w:color w:val="auto"/>
              </w:rPr>
            </w:pPr>
            <w:r>
              <w:rPr>
                <w:rFonts w:ascii="Times New Roman" w:cs="Times New Roman" w:eastAsia="Times New Roman" w:hAnsi="Times New Roman"/>
                <w:sz w:val="20"/>
                <w:szCs w:val="20"/>
                <w:color w:val="0000FF"/>
                <w:w w:val="99"/>
              </w:rPr>
              <w:t>626</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 - 2-28-2023</w:t>
            </w: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1,676</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Non-statutory stock option granted pursuant to the 2010 Incentive Award Plan. Option shall vest 7/48 one month after the date of grant and 1/48 each month thereafter.</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12.5% of the shares subject to the option vest on the six-month anniversary measured from February 10, 2023, and 1/48th of the total number of shares vest in forty-two (42) successive and equal monthly installments thereafter, subject to Reporting Person's continuous service to the Issuer through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Non-statutory stock option granted pursuant to the 2010 Incentive Award Plan. The option vests 1/8th six months after the date of grant and 1/48th monthly thereafter.</w:t>
      </w:r>
    </w:p>
    <w:p>
      <w:pPr>
        <w:spacing w:after="0" w:line="52" w:lineRule="exact"/>
        <w:rPr>
          <w:rFonts w:ascii="Times New Roman" w:cs="Times New Roman" w:eastAsia="Times New Roman" w:hAnsi="Times New Roman"/>
          <w:sz w:val="15"/>
          <w:szCs w:val="15"/>
          <w:color w:val="008000"/>
        </w:rPr>
      </w:pPr>
    </w:p>
    <w:p>
      <w:pPr>
        <w:ind w:left="40" w:right="4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7/48th of the shares subject to the option vest on the one-month anniversary measured from August 10, 2023, and 1/48th of the total number of shares vest in forty-one (41) successive and equal monthly installments thereafter, subject to Reporting Person's continuous service to the Issuer through each such vesting 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performance stock units ("PSUs") initially granted to the Reporting Person on February 26, 2024 subject to achievement of certain performance metrics. The performance criteria for the PSUs reported herein have been achieved, as determined by the Compensation Committee of the Issuer. The PSUs reported herein vest on February 26, 2027, the third anniversary of the grant date, subject to Reporting Person's continuous service to the Issuer through each such vesting date.</w:t>
      </w:r>
    </w:p>
    <w:p>
      <w:pPr>
        <w:spacing w:after="0" w:line="29"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performance stock units ("PSUs") initially granted to the Reporting Person on February 28, 2023 subject to achievement of certain performance metrics. The performance criteria for the PSUs reported herein have been achieved, as determined by the Compensation Committee of the Issuer. The PSUs reported herein vest on February 28, 2026, the third anniversary of the grant date, subject to Reporting Person's continuous service to the Issuer through each such vesting date.</w:t>
      </w:r>
    </w:p>
    <w:p>
      <w:pPr>
        <w:spacing w:after="0" w:line="29" w:lineRule="exact"/>
        <w:rPr>
          <w:rFonts w:ascii="Times New Roman" w:cs="Times New Roman" w:eastAsia="Times New Roman" w:hAnsi="Times New Roman"/>
          <w:sz w:val="15"/>
          <w:szCs w:val="15"/>
          <w:color w:val="008000"/>
        </w:rPr>
      </w:pPr>
    </w:p>
    <w:p>
      <w:pPr>
        <w:ind w:right="2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granted represents a contingent right to receive one share of Intuitive Surgical common stock. The grant vests 25% on the first anniversary of the date of grant and annually thereafter, over a four year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Stephanie Lim-Ignacio</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For: Jeddi, Iman</w:t>
            </w:r>
          </w:p>
        </w:tc>
        <w:tc>
          <w:tcPr>
            <w:tcW w:w="9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2479"/>
        <w:spacing w:after="0" w:line="265" w:lineRule="auto"/>
        <w:rPr>
          <w:sz w:val="20"/>
          <w:szCs w:val="20"/>
          <w:color w:val="auto"/>
        </w:rPr>
      </w:pPr>
      <w:r>
        <w:rPr>
          <w:rFonts w:ascii="Courier New" w:cs="Courier New" w:eastAsia="Courier New" w:hAnsi="Courier New"/>
          <w:sz w:val="18"/>
          <w:szCs w:val="18"/>
          <w:color w:val="auto"/>
        </w:rPr>
        <w:t>Know all by these present that the undersigned hereby authorizes Donna Spinola, Stephanie Lim-Ignacio, Thanh Nhan Phan, and Cory Balliet of Intuitive Surgical, Inc. (the "Company") and Mark Roeder and John Williams of Latham &amp; Watkins LLP, and each of them individually, to (i) execute for and on behalf of the undersigned, in the undersigned's capacity as an officer or director of the Company, Forms 3, 4, and 5, and Notices of Proposed Sale of Securities Pursuant to Rule 144 ("Form 144"), in accordance with the requirements of Rule 144 under the Securities Act of 1933, as amended (the "Securities Act"), and other forms as may be required, and any amendments thereto, and cause such forms to be filed with the U.S. Securities and Exchange Commission (the "SEC") pursuant to Section 16(a) of the Securities Exchange Act of 1934, as amended (the "Exchange Act"), and Rule 144 under the Securities Act, relating to the undersigned's ownership of and transactions in securities of the Company and (ii) execute for and on behalf of the undersigned in the undersigned's name, and submit to the SEC, a Form ID, including amendments thereto, and any other documents necessary or appropriate to obtain and/or regenerate codes and passwords enabling the undersigned to make electronic filings with the SEC of reports required by Section 16(a) of the Exchange Act, Rule 144 of the Securities Act or any rule or regulation of the SEC.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This Power of Attorney shall remain in full force and</w:t>
      </w:r>
    </w:p>
    <w:p>
      <w:pPr>
        <w:ind w:right="2479"/>
        <w:spacing w:after="0" w:line="264" w:lineRule="auto"/>
        <w:rPr>
          <w:sz w:val="20"/>
          <w:szCs w:val="20"/>
          <w:color w:val="auto"/>
        </w:rPr>
      </w:pPr>
      <w:r>
        <w:rPr>
          <w:rFonts w:ascii="Courier New" w:cs="Courier New" w:eastAsia="Courier New" w:hAnsi="Courier New"/>
          <w:sz w:val="18"/>
          <w:szCs w:val="18"/>
          <w:color w:val="auto"/>
        </w:rPr>
        <w:t>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 IN WITNESS WHEREOF, the undersigned has caused this</w:t>
      </w:r>
    </w:p>
    <w:p>
      <w:pPr>
        <w:spacing w:after="0" w:line="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20"/>
          <w:szCs w:val="20"/>
          <w:color w:val="auto"/>
        </w:rPr>
        <w:t>Power of Attorney to be executed as of this day of January 20, 2026.</w:t>
      </w:r>
    </w:p>
    <w:p>
      <w:pPr>
        <w:spacing w:after="0"/>
        <w:rPr>
          <w:sz w:val="20"/>
          <w:szCs w:val="20"/>
          <w:color w:val="auto"/>
        </w:rPr>
      </w:pPr>
      <w:r>
        <w:rPr>
          <w:rFonts w:ascii="Courier New" w:cs="Courier New" w:eastAsia="Courier New" w:hAnsi="Courier New"/>
          <w:sz w:val="20"/>
          <w:szCs w:val="20"/>
          <w:color w:val="auto"/>
        </w:rPr>
        <w:t>/s/ Iman Jeddi</w:t>
      </w:r>
    </w:p>
    <w:p>
      <w:pPr>
        <w:spacing w:after="0"/>
        <w:rPr>
          <w:sz w:val="20"/>
          <w:szCs w:val="20"/>
          <w:color w:val="auto"/>
        </w:rPr>
      </w:pPr>
      <w:r>
        <w:rPr>
          <w:rFonts w:ascii="Courier New" w:cs="Courier New" w:eastAsia="Courier New" w:hAnsi="Courier New"/>
          <w:sz w:val="20"/>
          <w:szCs w:val="20"/>
          <w:color w:val="auto"/>
        </w:rPr>
        <w:t>IMAN JEDDI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6898" TargetMode="External"/><Relationship Id="rId11"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2026-02-05T16:05:48Z</dcterms:created>
  <dcterms:modified xsi:type="dcterms:W3CDTF">2026-02-05T16:05:48Z</dcterms:modified>
</cp:coreProperties>
</file>