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6"/>
        <w:spacing w:after="0"/>
        <w:rPr>
          <w:sz w:val="20"/>
          <w:szCs w:val="20"/>
          <w:color w:val="auto"/>
        </w:rPr>
      </w:pPr>
      <w:r>
        <w:rPr>
          <w:rFonts w:ascii="Courier New" w:cs="Courier New" w:eastAsia="Courier New" w:hAnsi="Courier New"/>
          <w:sz w:val="15"/>
          <w:szCs w:val="15"/>
          <w:color w:val="auto"/>
        </w:rPr>
        <w:t>1</w:t>
      </w:r>
    </w:p>
    <w:p>
      <w:pPr>
        <w:spacing w:after="0" w:line="359" w:lineRule="exact"/>
        <w:rPr>
          <w:sz w:val="24"/>
          <w:szCs w:val="24"/>
          <w:color w:val="auto"/>
        </w:rPr>
      </w:pPr>
    </w:p>
    <w:p>
      <w:pPr>
        <w:ind w:left="546"/>
        <w:spacing w:after="0"/>
        <w:rPr>
          <w:sz w:val="20"/>
          <w:szCs w:val="20"/>
          <w:color w:val="auto"/>
        </w:rPr>
      </w:pPr>
      <w:r>
        <w:rPr>
          <w:rFonts w:ascii="Courier New" w:cs="Courier New" w:eastAsia="Courier New" w:hAnsi="Courier New"/>
          <w:sz w:val="15"/>
          <w:szCs w:val="15"/>
          <w:color w:val="auto"/>
        </w:rPr>
        <w:t>AS FILED WITH THE SECURITIES AND EXCHANGE COMMISSION ON MAY 2, 2000</w:t>
      </w:r>
    </w:p>
    <w:p>
      <w:pPr>
        <w:spacing w:after="0" w:line="200" w:lineRule="exact"/>
        <w:rPr>
          <w:sz w:val="24"/>
          <w:szCs w:val="24"/>
          <w:color w:val="auto"/>
        </w:rPr>
      </w:pPr>
    </w:p>
    <w:p>
      <w:pPr>
        <w:spacing w:after="0" w:line="335" w:lineRule="exact"/>
        <w:rPr>
          <w:sz w:val="24"/>
          <w:szCs w:val="24"/>
          <w:color w:val="auto"/>
        </w:rPr>
      </w:pPr>
    </w:p>
    <w:p>
      <w:pPr>
        <w:ind w:left="4946"/>
        <w:spacing w:after="0"/>
        <w:rPr>
          <w:sz w:val="20"/>
          <w:szCs w:val="20"/>
          <w:color w:val="auto"/>
        </w:rPr>
      </w:pPr>
      <w:r>
        <w:rPr>
          <w:rFonts w:ascii="Courier New" w:cs="Courier New" w:eastAsia="Courier New" w:hAnsi="Courier New"/>
          <w:sz w:val="15"/>
          <w:szCs w:val="15"/>
          <w:color w:val="auto"/>
        </w:rPr>
        <w:t>REGISTRATION NO. 333-33016</w:t>
      </w:r>
    </w:p>
    <w:p>
      <w:pPr>
        <w:spacing w:after="0" w:line="182"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WASHINGTON, D.C. 20549</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AMENDMENT NO. 1</w:t>
      </w:r>
    </w:p>
    <w:p>
      <w:pPr>
        <w:spacing w:after="0" w:line="359" w:lineRule="exact"/>
        <w:rPr>
          <w:sz w:val="24"/>
          <w:szCs w:val="24"/>
          <w:color w:val="auto"/>
        </w:rPr>
      </w:pPr>
    </w:p>
    <w:p>
      <w:pPr>
        <w:ind w:left="3306"/>
        <w:spacing w:after="0"/>
        <w:rPr>
          <w:sz w:val="20"/>
          <w:szCs w:val="20"/>
          <w:color w:val="auto"/>
        </w:rPr>
      </w:pPr>
      <w:r>
        <w:rPr>
          <w:rFonts w:ascii="Courier New" w:cs="Courier New" w:eastAsia="Courier New" w:hAnsi="Courier New"/>
          <w:sz w:val="15"/>
          <w:szCs w:val="15"/>
          <w:color w:val="auto"/>
        </w:rPr>
        <w:t>FORM S-1</w:t>
      </w:r>
    </w:p>
    <w:p>
      <w:pPr>
        <w:spacing w:after="0" w:line="6" w:lineRule="exact"/>
        <w:rPr>
          <w:sz w:val="24"/>
          <w:szCs w:val="24"/>
          <w:color w:val="auto"/>
        </w:rPr>
      </w:pPr>
    </w:p>
    <w:p>
      <w:pPr>
        <w:ind w:left="26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466"/>
        <w:spacing w:after="0"/>
        <w:rPr>
          <w:sz w:val="20"/>
          <w:szCs w:val="20"/>
          <w:color w:val="auto"/>
        </w:rPr>
      </w:pPr>
      <w:r>
        <w:rPr>
          <w:rFonts w:ascii="Courier New" w:cs="Courier New" w:eastAsia="Courier New" w:hAnsi="Courier New"/>
          <w:sz w:val="15"/>
          <w:szCs w:val="15"/>
          <w:color w:val="auto"/>
        </w:rPr>
        <w:t>THE SECURITIES ACT OF 1933</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4" w:top="235" w:right="1440" w:bottom="0" w:gutter="0" w:footer="0" w:header="0"/>
        </w:sectPr>
      </w:pPr>
    </w:p>
    <w:p>
      <w:pPr>
        <w:spacing w:after="0" w:line="200" w:lineRule="exact"/>
        <w:rPr>
          <w:sz w:val="24"/>
          <w:szCs w:val="24"/>
          <w:color w:val="auto"/>
        </w:rPr>
      </w:pPr>
    </w:p>
    <w:p>
      <w:pPr>
        <w:spacing w:after="0" w:line="335" w:lineRule="exact"/>
        <w:rPr>
          <w:sz w:val="24"/>
          <w:szCs w:val="24"/>
          <w:color w:val="auto"/>
        </w:rPr>
      </w:pPr>
    </w:p>
    <w:p>
      <w:pPr>
        <w:ind w:left="1186"/>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ind w:left="86"/>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186"/>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3842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INDUSTRIAL</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77-0416458</w:t>
      </w:r>
    </w:p>
    <w:p>
      <w:pPr>
        <w:spacing w:after="0" w:line="6"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jc w:val="center"/>
        <w:ind w:right="1239"/>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3">
            <w:col w:w="2926" w:space="560"/>
            <w:col w:w="2760" w:space="720"/>
            <w:col w:w="3259"/>
          </w:cols>
          <w:pgMar w:left="234" w:top="235" w:right="1440" w:bottom="0" w:gutter="0" w:footer="0" w:header="0"/>
          <w:type w:val="continuous"/>
        </w:sectPr>
      </w:pPr>
    </w:p>
    <w:p>
      <w:pPr>
        <w:spacing w:after="0" w:line="159"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1340 W. MIDDLEFIELD ROAD</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MOUNTAIN VIEW, CALIFORNIA 94043</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(650) 237-7000</w:t>
      </w: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1340 W. MIDDLEFIELD ROAD</w:t>
      </w:r>
    </w:p>
    <w:p>
      <w:pPr>
        <w:spacing w:after="0" w:line="6"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MOUNTAIN VIEW, CALIFORNIA 94043</w:t>
      </w:r>
    </w:p>
    <w:p>
      <w:pPr>
        <w:spacing w:after="0" w:line="6" w:lineRule="exact"/>
        <w:rPr>
          <w:sz w:val="24"/>
          <w:szCs w:val="24"/>
          <w:color w:val="auto"/>
        </w:rPr>
      </w:pPr>
    </w:p>
    <w:p>
      <w:pPr>
        <w:ind w:left="3026"/>
        <w:spacing w:after="0"/>
        <w:rPr>
          <w:sz w:val="20"/>
          <w:szCs w:val="20"/>
          <w:color w:val="auto"/>
        </w:rPr>
      </w:pPr>
      <w:r>
        <w:rPr>
          <w:rFonts w:ascii="Courier New" w:cs="Courier New" w:eastAsia="Courier New" w:hAnsi="Courier New"/>
          <w:sz w:val="15"/>
          <w:szCs w:val="15"/>
          <w:color w:val="auto"/>
        </w:rPr>
        <w:t>(650) 237-7000</w:t>
      </w:r>
    </w:p>
    <w:p>
      <w:pPr>
        <w:spacing w:after="0" w:line="6" w:lineRule="exact"/>
        <w:rPr>
          <w:sz w:val="24"/>
          <w:szCs w:val="24"/>
          <w:color w:val="auto"/>
        </w:rPr>
      </w:pPr>
    </w:p>
    <w:p>
      <w:pPr>
        <w:jc w:val="center"/>
        <w:ind w:right="2893"/>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OF AGENT FOR SERVICE)</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COPIES TO:</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tbl>
      <w:tblPr>
        <w:tblLayout w:type="fixed"/>
        <w:tblInd w:w="1106" w:type="dxa"/>
        <w:tblCellMar>
          <w:top w:w="0" w:type="dxa"/>
          <w:left w:w="0" w:type="dxa"/>
          <w:bottom w:w="0" w:type="dxa"/>
          <w:right w:w="0" w:type="dxa"/>
        </w:tblCellMar>
      </w:tblPr>
      <w:tr>
        <w:trPr>
          <w:trHeight w:val="171"/>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ALAN C. MENDELSON, ESQ.</w:t>
            </w:r>
          </w:p>
        </w:tc>
        <w:tc>
          <w:tcPr>
            <w:tcW w:w="376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KENNETH M. DORAN, ESQ.</w:t>
            </w:r>
          </w:p>
        </w:tc>
      </w:tr>
      <w:tr>
        <w:trPr>
          <w:trHeight w:val="176"/>
        </w:trPr>
        <w:tc>
          <w:tcPr>
            <w:tcW w:w="3560" w:type="dxa"/>
            <w:vAlign w:val="bottom"/>
          </w:tcPr>
          <w:p>
            <w:pPr>
              <w:jc w:val="center"/>
              <w:ind w:right="1104"/>
              <w:spacing w:after="0"/>
              <w:rPr>
                <w:sz w:val="20"/>
                <w:szCs w:val="20"/>
                <w:color w:val="auto"/>
              </w:rPr>
            </w:pPr>
            <w:r>
              <w:rPr>
                <w:rFonts w:ascii="Courier New" w:cs="Courier New" w:eastAsia="Courier New" w:hAnsi="Courier New"/>
                <w:sz w:val="15"/>
                <w:szCs w:val="15"/>
                <w:color w:val="auto"/>
              </w:rPr>
              <w:t>LAURA A. BEREZIN, ESQ.</w:t>
            </w:r>
          </w:p>
        </w:tc>
        <w:tc>
          <w:tcPr>
            <w:tcW w:w="3760" w:type="dxa"/>
            <w:vAlign w:val="bottom"/>
          </w:tcPr>
          <w:p>
            <w:pPr>
              <w:jc w:val="center"/>
              <w:ind w:left="1044"/>
              <w:spacing w:after="0"/>
              <w:rPr>
                <w:sz w:val="20"/>
                <w:szCs w:val="20"/>
                <w:color w:val="auto"/>
              </w:rPr>
            </w:pPr>
            <w:r>
              <w:rPr>
                <w:rFonts w:ascii="Courier New" w:cs="Courier New" w:eastAsia="Courier New" w:hAnsi="Courier New"/>
                <w:sz w:val="15"/>
                <w:szCs w:val="15"/>
                <w:color w:val="auto"/>
              </w:rPr>
              <w:t>GIBSON, DUNN &amp; CRUTCHER LLP</w:t>
            </w:r>
          </w:p>
        </w:tc>
      </w:tr>
      <w:tr>
        <w:trPr>
          <w:trHeight w:val="176"/>
        </w:trPr>
        <w:tc>
          <w:tcPr>
            <w:tcW w:w="3560" w:type="dxa"/>
            <w:vAlign w:val="bottom"/>
          </w:tcPr>
          <w:p>
            <w:pPr>
              <w:jc w:val="center"/>
              <w:ind w:right="1124"/>
              <w:spacing w:after="0"/>
              <w:rPr>
                <w:sz w:val="20"/>
                <w:szCs w:val="20"/>
                <w:color w:val="auto"/>
              </w:rPr>
            </w:pPr>
            <w:r>
              <w:rPr>
                <w:rFonts w:ascii="Courier New" w:cs="Courier New" w:eastAsia="Courier New" w:hAnsi="Courier New"/>
                <w:sz w:val="15"/>
                <w:szCs w:val="15"/>
                <w:color w:val="auto"/>
              </w:rPr>
              <w:t>COOLEY GODWARD LLP</w:t>
            </w:r>
          </w:p>
        </w:tc>
        <w:tc>
          <w:tcPr>
            <w:tcW w:w="3760" w:type="dxa"/>
            <w:vAlign w:val="bottom"/>
          </w:tcPr>
          <w:p>
            <w:pPr>
              <w:jc w:val="center"/>
              <w:ind w:left="944"/>
              <w:spacing w:after="0"/>
              <w:rPr>
                <w:sz w:val="20"/>
                <w:szCs w:val="20"/>
                <w:color w:val="auto"/>
              </w:rPr>
            </w:pPr>
            <w:r>
              <w:rPr>
                <w:rFonts w:ascii="Courier New" w:cs="Courier New" w:eastAsia="Courier New" w:hAnsi="Courier New"/>
                <w:sz w:val="15"/>
                <w:szCs w:val="15"/>
                <w:color w:val="auto"/>
              </w:rPr>
              <w:t>333 SOUTH GRAND AVENUE</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FIVE PALO ALTO SQUARE</w:t>
            </w:r>
          </w:p>
        </w:tc>
        <w:tc>
          <w:tcPr>
            <w:tcW w:w="3760" w:type="dxa"/>
            <w:vAlign w:val="bottom"/>
          </w:tcPr>
          <w:p>
            <w:pPr>
              <w:jc w:val="center"/>
              <w:ind w:left="1024"/>
              <w:spacing w:after="0"/>
              <w:rPr>
                <w:sz w:val="20"/>
                <w:szCs w:val="20"/>
                <w:color w:val="auto"/>
              </w:rPr>
            </w:pPr>
            <w:r>
              <w:rPr>
                <w:rFonts w:ascii="Courier New" w:cs="Courier New" w:eastAsia="Courier New" w:hAnsi="Courier New"/>
                <w:sz w:val="15"/>
                <w:szCs w:val="15"/>
                <w:color w:val="auto"/>
              </w:rPr>
              <w:t>LOS ANGELES, CALIFORNIA 90071</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3000 EL CAMINO REAL</w:t>
            </w:r>
          </w:p>
        </w:tc>
        <w:tc>
          <w:tcPr>
            <w:tcW w:w="3760" w:type="dxa"/>
            <w:vAlign w:val="bottom"/>
          </w:tcPr>
          <w:p>
            <w:pPr>
              <w:jc w:val="center"/>
              <w:ind w:left="924"/>
              <w:spacing w:after="0"/>
              <w:rPr>
                <w:sz w:val="20"/>
                <w:szCs w:val="20"/>
                <w:color w:val="auto"/>
              </w:rPr>
            </w:pPr>
            <w:r>
              <w:rPr>
                <w:rFonts w:ascii="Courier New" w:cs="Courier New" w:eastAsia="Courier New" w:hAnsi="Courier New"/>
                <w:sz w:val="15"/>
                <w:szCs w:val="15"/>
                <w:color w:val="auto"/>
              </w:rPr>
              <w:t>(213) 229-7000</w:t>
            </w:r>
          </w:p>
        </w:tc>
      </w:tr>
      <w:tr>
        <w:trPr>
          <w:trHeight w:val="176"/>
        </w:trPr>
        <w:tc>
          <w:tcPr>
            <w:tcW w:w="3560" w:type="dxa"/>
            <w:vAlign w:val="bottom"/>
          </w:tcPr>
          <w:p>
            <w:pPr>
              <w:jc w:val="center"/>
              <w:ind w:right="1024"/>
              <w:spacing w:after="0"/>
              <w:rPr>
                <w:sz w:val="20"/>
                <w:szCs w:val="20"/>
                <w:color w:val="auto"/>
              </w:rPr>
            </w:pPr>
            <w:r>
              <w:rPr>
                <w:rFonts w:ascii="Courier New" w:cs="Courier New" w:eastAsia="Courier New" w:hAnsi="Courier New"/>
                <w:sz w:val="15"/>
                <w:szCs w:val="15"/>
                <w:color w:val="auto"/>
              </w:rPr>
              <w:t>PALO ALTO, CALIFORNIA 94306</w:t>
            </w:r>
          </w:p>
        </w:tc>
        <w:tc>
          <w:tcPr>
            <w:tcW w:w="3760" w:type="dxa"/>
            <w:vAlign w:val="bottom"/>
          </w:tcPr>
          <w:p>
            <w:pPr>
              <w:spacing w:after="0"/>
              <w:rPr>
                <w:sz w:val="15"/>
                <w:szCs w:val="15"/>
                <w:color w:val="auto"/>
              </w:rPr>
            </w:pPr>
          </w:p>
        </w:tc>
      </w:tr>
      <w:tr>
        <w:trPr>
          <w:trHeight w:val="176"/>
        </w:trPr>
        <w:tc>
          <w:tcPr>
            <w:tcW w:w="3560" w:type="dxa"/>
            <w:vAlign w:val="bottom"/>
          </w:tcPr>
          <w:p>
            <w:pPr>
              <w:jc w:val="center"/>
              <w:ind w:right="1124"/>
              <w:spacing w:after="0"/>
              <w:rPr>
                <w:sz w:val="20"/>
                <w:szCs w:val="20"/>
                <w:color w:val="auto"/>
              </w:rPr>
            </w:pPr>
            <w:r>
              <w:rPr>
                <w:rFonts w:ascii="Courier New" w:cs="Courier New" w:eastAsia="Courier New" w:hAnsi="Courier New"/>
                <w:sz w:val="15"/>
                <w:szCs w:val="15"/>
                <w:color w:val="auto"/>
              </w:rPr>
              <w:t>(650) 843-5000</w:t>
            </w:r>
          </w:p>
        </w:tc>
        <w:tc>
          <w:tcPr>
            <w:tcW w:w="3760" w:type="dxa"/>
            <w:vAlign w:val="bottom"/>
          </w:tcPr>
          <w:p>
            <w:pPr>
              <w:spacing w:after="0"/>
              <w:rPr>
                <w:sz w:val="15"/>
                <w:szCs w:val="15"/>
                <w:color w:val="auto"/>
              </w:rPr>
            </w:pPr>
          </w:p>
        </w:tc>
      </w:tr>
    </w:tbl>
    <w:p>
      <w:pPr>
        <w:spacing w:after="0" w:line="200" w:lineRule="exact"/>
        <w:rPr>
          <w:sz w:val="24"/>
          <w:szCs w:val="24"/>
          <w:color w:val="auto"/>
        </w:rPr>
      </w:pPr>
    </w:p>
    <w:p>
      <w:pPr>
        <w:spacing w:after="0" w:line="334" w:lineRule="exact"/>
        <w:rPr>
          <w:sz w:val="24"/>
          <w:szCs w:val="24"/>
          <w:color w:val="auto"/>
        </w:rPr>
      </w:pPr>
    </w:p>
    <w:p>
      <w:pPr>
        <w:ind w:left="726"/>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6" w:lineRule="exact"/>
        <w:rPr>
          <w:sz w:val="24"/>
          <w:szCs w:val="24"/>
          <w:color w:val="auto"/>
        </w:rPr>
      </w:pPr>
    </w:p>
    <w:p>
      <w:pPr>
        <w:ind w:left="6"/>
        <w:spacing w:after="0"/>
        <w:rPr>
          <w:sz w:val="20"/>
          <w:szCs w:val="20"/>
          <w:color w:val="auto"/>
        </w:rPr>
      </w:pPr>
      <w:r>
        <w:rPr>
          <w:rFonts w:ascii="Courier New" w:cs="Courier New" w:eastAsia="Courier New" w:hAnsi="Courier New"/>
          <w:sz w:val="15"/>
          <w:szCs w:val="15"/>
          <w:color w:val="auto"/>
        </w:rPr>
        <w:t>As soon as practicable after the effective date of this Registration Statement.</w:t>
      </w:r>
    </w:p>
    <w:p>
      <w:pPr>
        <w:spacing w:after="0" w:line="182" w:lineRule="exact"/>
        <w:rPr>
          <w:sz w:val="24"/>
          <w:szCs w:val="24"/>
          <w:color w:val="auto"/>
        </w:rPr>
      </w:pPr>
    </w:p>
    <w:p>
      <w:pPr>
        <w:ind w:left="6" w:right="2979" w:firstLine="366"/>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6" w:lineRule="exact"/>
        <w:rPr>
          <w:sz w:val="24"/>
          <w:szCs w:val="24"/>
          <w:color w:val="auto"/>
        </w:rPr>
      </w:pPr>
    </w:p>
    <w:p>
      <w:pPr>
        <w:ind w:left="6" w:right="2899" w:firstLine="366"/>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6" w:right="3179" w:firstLine="366"/>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6" w:right="3179" w:firstLine="366"/>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52" w:lineRule="exact"/>
        <w:rPr>
          <w:sz w:val="24"/>
          <w:szCs w:val="24"/>
          <w:color w:val="auto"/>
        </w:rPr>
      </w:pPr>
    </w:p>
    <w:p>
      <w:pPr>
        <w:ind w:left="6" w:right="3079" w:firstLine="366"/>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ectPr>
          <w:pgSz w:w="11900" w:h="16838" w:orient="portrait"/>
          <w:cols w:equalWidth="0" w:num="1">
            <w:col w:w="10225"/>
          </w:cols>
          <w:pgMar w:left="234" w:top="235" w:right="1440" w:bottom="0" w:gutter="0" w:footer="0" w:header="0"/>
          <w:type w:val="continuous"/>
        </w:sectPr>
      </w:pPr>
    </w:p>
    <w:bookmarkStart w:id="1" w:name="page2"/>
    <w:bookmarkEnd w:id="1"/>
    <w:p>
      <w:pPr>
        <w:ind w:left="6" w:right="2899" w:firstLine="366"/>
        <w:spacing w:after="0" w:line="249"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75" w:lineRule="exact"/>
        <w:rPr>
          <w:sz w:val="20"/>
          <w:szCs w:val="20"/>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494" w:right="1440" w:bottom="1440" w:gutter="0" w:footer="0" w:header="0"/>
        </w:sectPr>
      </w:pPr>
    </w:p>
    <w:bookmarkStart w:id="2" w:name="page3"/>
    <w:bookmarkEnd w:id="2"/>
    <w:p>
      <w:pPr>
        <w:ind w:left="266"/>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left="466" w:right="3079"/>
        <w:spacing w:after="0" w:line="249"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w:t>
      </w:r>
    </w:p>
    <w:p>
      <w:pPr>
        <w:spacing w:after="0" w:line="352"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SUBJECT TO COMPLETION, DATED MAY 2, 2000</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PROSPECTUS</w:t>
      </w:r>
    </w:p>
    <w:p>
      <w:pPr>
        <w:spacing w:after="0" w:line="359"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8,000,000 SHARES</w:t>
      </w:r>
    </w:p>
    <w:p>
      <w:pPr>
        <w:spacing w:after="0" w:line="200" w:lineRule="exact"/>
        <w:rPr>
          <w:sz w:val="20"/>
          <w:szCs w:val="20"/>
          <w:color w:val="auto"/>
        </w:rPr>
      </w:pPr>
    </w:p>
    <w:p>
      <w:pPr>
        <w:spacing w:after="0" w:line="335"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[INTUITIVE LOGO]</w:t>
      </w:r>
    </w:p>
    <w:p>
      <w:pPr>
        <w:spacing w:after="0" w:line="359"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This is our initial public offering of shares of common stock. We are offering 8,000,000 shares. No public market currently exists for our shares.</w:t>
      </w:r>
    </w:p>
    <w:p>
      <w:pPr>
        <w:spacing w:after="0" w:line="200" w:lineRule="exact"/>
        <w:rPr>
          <w:sz w:val="20"/>
          <w:szCs w:val="20"/>
          <w:color w:val="auto"/>
        </w:rPr>
      </w:pPr>
    </w:p>
    <w:p>
      <w:pPr>
        <w:spacing w:after="0" w:line="327"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We propose to list our common stock on the Nasdaq National Market under the symbol "ISRG." Anticipated price range of $11.00 to $13.00 per share.</w:t>
      </w:r>
    </w:p>
    <w:p>
      <w:pPr>
        <w:spacing w:after="0" w:line="351"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INVESTING IN THE SHARES INVOLVES RISKS. "RISK FACTORS" BEGIN ON PAGE 5.</w:t>
      </w:r>
    </w:p>
    <w:p>
      <w:pPr>
        <w:spacing w:after="0" w:line="200" w:lineRule="exact"/>
        <w:rPr>
          <w:sz w:val="20"/>
          <w:szCs w:val="20"/>
          <w:color w:val="auto"/>
        </w:rPr>
      </w:pPr>
    </w:p>
    <w:p>
      <w:pPr>
        <w:spacing w:after="0" w:line="335"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PER</w:t>
      </w:r>
    </w:p>
    <w:p>
      <w:pPr>
        <w:spacing w:after="0" w:line="6" w:lineRule="exact"/>
        <w:rPr>
          <w:sz w:val="20"/>
          <w:szCs w:val="20"/>
          <w:color w:val="auto"/>
        </w:rPr>
      </w:pPr>
    </w:p>
    <w:p>
      <w:pPr>
        <w:ind w:left="5766"/>
        <w:spacing w:after="0"/>
        <w:tabs>
          <w:tab w:leader="none" w:pos="6766" w:val="left"/>
        </w:tabs>
        <w:rPr>
          <w:sz w:val="20"/>
          <w:szCs w:val="20"/>
          <w:color w:val="auto"/>
        </w:rPr>
      </w:pPr>
      <w:r>
        <w:rPr>
          <w:rFonts w:ascii="Courier New" w:cs="Courier New" w:eastAsia="Courier New" w:hAnsi="Courier New"/>
          <w:sz w:val="15"/>
          <w:szCs w:val="15"/>
          <w:color w:val="auto"/>
        </w:rPr>
        <w:t>SHARE</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ind w:left="5686"/>
        <w:spacing w:after="0"/>
        <w:tabs>
          <w:tab w:leader="none" w:pos="6666"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tabs>
          <w:tab w:leader="none" w:pos="5666" w:val="left"/>
          <w:tab w:leader="none" w:pos="6666" w:val="left"/>
        </w:tabs>
        <w:rPr>
          <w:sz w:val="20"/>
          <w:szCs w:val="20"/>
          <w:color w:val="auto"/>
        </w:rPr>
      </w:pPr>
      <w:r>
        <w:rPr>
          <w:rFonts w:ascii="Courier New" w:cs="Courier New" w:eastAsia="Courier New" w:hAnsi="Courier New"/>
          <w:sz w:val="15"/>
          <w:szCs w:val="15"/>
          <w:color w:val="auto"/>
        </w:rPr>
        <w:t>Public Offering Price.......................................</w:t>
        <w:tab/>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tabs>
          <w:tab w:leader="none" w:pos="5666" w:val="left"/>
          <w:tab w:leader="none" w:pos="6666" w:val="left"/>
        </w:tabs>
        <w:rPr>
          <w:sz w:val="20"/>
          <w:szCs w:val="20"/>
          <w:color w:val="auto"/>
        </w:rPr>
      </w:pPr>
      <w:r>
        <w:rPr>
          <w:rFonts w:ascii="Courier New" w:cs="Courier New" w:eastAsia="Courier New" w:hAnsi="Courier New"/>
          <w:sz w:val="15"/>
          <w:szCs w:val="15"/>
          <w:color w:val="auto"/>
        </w:rPr>
        <w:t>Underwriting Discount.......................................</w:t>
        <w:tab/>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ind w:left="6"/>
        <w:spacing w:after="0"/>
        <w:tabs>
          <w:tab w:leader="none" w:pos="5666" w:val="left"/>
          <w:tab w:leader="none" w:pos="6666" w:val="left"/>
        </w:tabs>
        <w:rPr>
          <w:sz w:val="20"/>
          <w:szCs w:val="20"/>
          <w:color w:val="auto"/>
        </w:rPr>
      </w:pPr>
      <w:r>
        <w:rPr>
          <w:rFonts w:ascii="Courier New" w:cs="Courier New" w:eastAsia="Courier New" w:hAnsi="Courier New"/>
          <w:sz w:val="15"/>
          <w:szCs w:val="15"/>
          <w:color w:val="auto"/>
        </w:rPr>
        <w:t>Proceeds to Intuitive Surgical..............................</w:t>
        <w:tab/>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We have granted the underwriters a 30-day option to purchase up to 1,200,000 additional shares of common stock on the same terms and conditions as set forth above solely to cover over-allotments, if any.</w:t>
      </w:r>
    </w:p>
    <w:p>
      <w:pPr>
        <w:spacing w:after="0" w:line="352"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860" w:type="dxa"/>
            <w:vAlign w:val="bottom"/>
          </w:tcPr>
          <w:p>
            <w:pPr>
              <w:spacing w:after="0"/>
              <w:rPr>
                <w:sz w:val="20"/>
                <w:szCs w:val="20"/>
                <w:color w:val="auto"/>
              </w:rPr>
            </w:pPr>
            <w:r>
              <w:rPr>
                <w:rFonts w:ascii="Courier New" w:cs="Courier New" w:eastAsia="Courier New" w:hAnsi="Courier New"/>
                <w:sz w:val="15"/>
                <w:szCs w:val="15"/>
                <w:color w:val="auto"/>
              </w:rPr>
              <w:t>Lehman Brothers expects to deliver the shares on or about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2000.</w:t>
            </w:r>
          </w:p>
        </w:tc>
      </w:tr>
    </w:tbl>
    <w:p>
      <w:pPr>
        <w:spacing w:after="0" w:line="181" w:lineRule="exact"/>
        <w:rPr>
          <w:sz w:val="20"/>
          <w:szCs w:val="20"/>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LEHMAN BROTHERS</w:t>
      </w:r>
    </w:p>
    <w:p>
      <w:pPr>
        <w:spacing w:after="0" w:line="182" w:lineRule="exact"/>
        <w:rPr>
          <w:sz w:val="20"/>
          <w:szCs w:val="20"/>
          <w:color w:val="auto"/>
        </w:rPr>
      </w:pPr>
    </w:p>
    <w:p>
      <w:pPr>
        <w:ind w:left="926"/>
        <w:spacing w:after="0"/>
        <w:rPr>
          <w:sz w:val="20"/>
          <w:szCs w:val="20"/>
          <w:color w:val="auto"/>
        </w:rPr>
      </w:pPr>
      <w:r>
        <w:rPr>
          <w:rFonts w:ascii="Courier New" w:cs="Courier New" w:eastAsia="Courier New" w:hAnsi="Courier New"/>
          <w:sz w:val="15"/>
          <w:szCs w:val="15"/>
          <w:color w:val="auto"/>
        </w:rPr>
        <w:t>BEAR, STEARNS &amp; CO. INC.</w:t>
      </w:r>
    </w:p>
    <w:p>
      <w:pPr>
        <w:spacing w:after="0" w:line="6" w:lineRule="exact"/>
        <w:rPr>
          <w:sz w:val="20"/>
          <w:szCs w:val="20"/>
          <w:color w:val="auto"/>
        </w:rPr>
      </w:pPr>
    </w:p>
    <w:p>
      <w:pPr>
        <w:ind w:left="2006"/>
        <w:spacing w:after="0"/>
        <w:rPr>
          <w:sz w:val="20"/>
          <w:szCs w:val="20"/>
          <w:color w:val="auto"/>
        </w:rPr>
      </w:pPr>
      <w:r>
        <w:rPr>
          <w:rFonts w:ascii="Courier New" w:cs="Courier New" w:eastAsia="Courier New" w:hAnsi="Courier New"/>
          <w:sz w:val="15"/>
          <w:szCs w:val="15"/>
          <w:color w:val="auto"/>
        </w:rPr>
        <w:t>ROBERTSON STEPHENS</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WARBURG DILLON READ LLC</w:t>
      </w:r>
    </w:p>
    <w:p>
      <w:pPr>
        <w:spacing w:after="0" w:line="182" w:lineRule="exact"/>
        <w:rPr>
          <w:sz w:val="20"/>
          <w:szCs w:val="20"/>
          <w:color w:val="auto"/>
        </w:rPr>
      </w:pPr>
    </w:p>
    <w:p>
      <w:pPr>
        <w:jc w:val="center"/>
        <w:ind w:right="153"/>
        <w:spacing w:after="0"/>
        <w:rPr>
          <w:sz w:val="20"/>
          <w:szCs w:val="20"/>
          <w:color w:val="auto"/>
        </w:rPr>
      </w:pPr>
      <w:r>
        <w:rPr>
          <w:rFonts w:ascii="Courier New" w:cs="Courier New" w:eastAsia="Courier New" w:hAnsi="Courier New"/>
          <w:sz w:val="15"/>
          <w:szCs w:val="15"/>
          <w:color w:val="auto"/>
        </w:rPr>
        <w:t>FIDELITY CAPITAL MARKETS</w:t>
      </w:r>
    </w:p>
    <w:p>
      <w:pPr>
        <w:spacing w:after="0" w:line="359" w:lineRule="exact"/>
        <w:rPr>
          <w:sz w:val="20"/>
          <w:szCs w:val="20"/>
          <w:color w:val="auto"/>
        </w:rPr>
      </w:pPr>
    </w:p>
    <w:p>
      <w:pPr>
        <w:jc w:val="center"/>
        <w:ind w:right="-946"/>
        <w:spacing w:after="0"/>
        <w:rPr>
          <w:sz w:val="20"/>
          <w:szCs w:val="20"/>
          <w:color w:val="auto"/>
        </w:rPr>
      </w:pPr>
      <w:r>
        <w:rPr>
          <w:rFonts w:ascii="Courier New" w:cs="Courier New" w:eastAsia="Courier New" w:hAnsi="Courier New"/>
          <w:sz w:val="15"/>
          <w:szCs w:val="15"/>
          <w:color w:val="auto"/>
        </w:rPr>
        <w:t>a division of National Financial</w:t>
      </w:r>
    </w:p>
    <w:p>
      <w:pPr>
        <w:spacing w:after="0" w:line="6" w:lineRule="exact"/>
        <w:rPr>
          <w:sz w:val="20"/>
          <w:szCs w:val="20"/>
          <w:color w:val="auto"/>
        </w:rPr>
      </w:pPr>
    </w:p>
    <w:p>
      <w:pPr>
        <w:jc w:val="center"/>
        <w:ind w:right="-946"/>
        <w:spacing w:after="0"/>
        <w:rPr>
          <w:sz w:val="20"/>
          <w:szCs w:val="20"/>
          <w:color w:val="auto"/>
        </w:rPr>
      </w:pPr>
      <w:r>
        <w:rPr>
          <w:rFonts w:ascii="Courier New" w:cs="Courier New" w:eastAsia="Courier New" w:hAnsi="Courier New"/>
          <w:sz w:val="15"/>
          <w:szCs w:val="15"/>
          <w:color w:val="auto"/>
        </w:rPr>
        <w:t>Services Corporation</w:t>
      </w:r>
    </w:p>
    <w:p>
      <w:pPr>
        <w:sectPr>
          <w:pgSz w:w="11900" w:h="16838" w:orient="portrait"/>
          <w:cols w:equalWidth="0" w:num="1">
            <w:col w:w="10225"/>
          </w:cols>
          <w:pgMar w:left="234" w:top="294" w:right="1440" w:bottom="1440" w:gutter="0" w:footer="0" w:header="0"/>
        </w:sectPr>
      </w:pPr>
    </w:p>
    <w:p>
      <w:pPr>
        <w:spacing w:after="0" w:line="359" w:lineRule="exact"/>
        <w:rPr>
          <w:sz w:val="20"/>
          <w:szCs w:val="20"/>
          <w:color w:val="auto"/>
        </w:rPr>
      </w:pPr>
    </w:p>
    <w:p>
      <w:pPr>
        <w:ind w:left="1366"/>
        <w:spacing w:after="0"/>
        <w:rPr>
          <w:sz w:val="20"/>
          <w:szCs w:val="20"/>
          <w:color w:val="auto"/>
        </w:rPr>
      </w:pPr>
      <w:r>
        <w:rPr>
          <w:rFonts w:ascii="Courier New" w:cs="Courier New" w:eastAsia="Courier New" w:hAnsi="Courier New"/>
          <w:sz w:val="15"/>
          <w:szCs w:val="15"/>
          <w:color w:val="auto"/>
        </w:rPr>
        <w:t>, 2000</w:t>
      </w:r>
    </w:p>
    <w:p>
      <w:pPr>
        <w:sectPr>
          <w:pgSz w:w="11900" w:h="16838" w:orient="portrait"/>
          <w:cols w:equalWidth="0" w:num="1">
            <w:col w:w="10225"/>
          </w:cols>
          <w:pgMar w:left="234" w:top="294"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[Description of Graphics]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Front Cover</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The future of surgery is now at your fingertips(TM)</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 series of four photographs are shown on the right side and bottom of the page. The first image shows two ENDOWRIST instruments suturing an organ. The second image shows a surgeon's hands inside our Surgeon's console manipulating the instrument controls to move the instruments shown in the first image. The surgeon's hands are positioned and oriented relative to one another in the same manner the instruments of the first image are relatively positioned and oriented. The third image shows a surgeon holding an actual ENDOWRIST instrument in front of his face. The fourth image is a graphic comparing the range of motion of the human hand and wrist to that of an ENDOWRIST instrument.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and</w:t>
      </w:r>
    </w:p>
    <w:p>
      <w:pPr>
        <w:spacing w:after="0" w:line="6" w:lineRule="exact"/>
        <w:rPr>
          <w:sz w:val="20"/>
          <w:szCs w:val="20"/>
          <w:color w:val="auto"/>
        </w:rPr>
      </w:pPr>
    </w:p>
    <w:p>
      <w:pPr>
        <w:ind w:left="1360" w:right="3439" w:hanging="1373"/>
        <w:spacing w:after="0" w:line="250" w:lineRule="auto"/>
        <w:rPr>
          <w:sz w:val="20"/>
          <w:szCs w:val="20"/>
          <w:color w:val="auto"/>
        </w:rPr>
      </w:pPr>
      <w:r>
        <w:rPr>
          <w:rFonts w:ascii="Courier New" w:cs="Courier New" w:eastAsia="Courier New" w:hAnsi="Courier New"/>
          <w:sz w:val="15"/>
          <w:szCs w:val="15"/>
          <w:color w:val="auto"/>
        </w:rPr>
        <w:t>Second Images: Orientation and movement of the surgeon's wrists, hands and fingers are seamlessly translated to the instrument tips</w:t>
      </w:r>
    </w:p>
    <w:p>
      <w:pPr>
        <w:spacing w:after="0" w:line="175" w:lineRule="exact"/>
        <w:rPr>
          <w:sz w:val="20"/>
          <w:szCs w:val="20"/>
          <w:color w:val="auto"/>
        </w:rPr>
      </w:pPr>
    </w:p>
    <w:p>
      <w:pPr>
        <w:ind w:left="1360" w:right="3999" w:hanging="1373"/>
        <w:spacing w:after="0" w:line="250" w:lineRule="auto"/>
        <w:tabs>
          <w:tab w:leader="none" w:pos="1340" w:val="left"/>
        </w:tabs>
        <w:rPr>
          <w:sz w:val="20"/>
          <w:szCs w:val="20"/>
          <w:color w:val="auto"/>
        </w:rPr>
      </w:pPr>
      <w:r>
        <w:rPr>
          <w:rFonts w:ascii="Courier New" w:cs="Courier New" w:eastAsia="Courier New" w:hAnsi="Courier New"/>
          <w:sz w:val="15"/>
          <w:szCs w:val="15"/>
          <w:color w:val="auto"/>
        </w:rPr>
        <w:t>Third Image:</w:t>
        <w:tab/>
        <w:t>Enhanced precision and intuitive control are provided through incisions the diameter of a pencil</w:t>
      </w:r>
    </w:p>
    <w:p>
      <w:pPr>
        <w:spacing w:after="0" w:line="175" w:lineRule="exact"/>
        <w:rPr>
          <w:sz w:val="20"/>
          <w:szCs w:val="20"/>
          <w:color w:val="auto"/>
        </w:rPr>
      </w:pPr>
    </w:p>
    <w:p>
      <w:pPr>
        <w:ind w:left="1360" w:right="3259" w:hanging="1373"/>
        <w:spacing w:after="0" w:line="250" w:lineRule="auto"/>
        <w:tabs>
          <w:tab w:leader="none" w:pos="1340" w:val="left"/>
        </w:tabs>
        <w:rPr>
          <w:sz w:val="20"/>
          <w:szCs w:val="20"/>
          <w:color w:val="auto"/>
        </w:rPr>
      </w:pPr>
      <w:r>
        <w:rPr>
          <w:rFonts w:ascii="Courier New" w:cs="Courier New" w:eastAsia="Courier New" w:hAnsi="Courier New"/>
          <w:sz w:val="15"/>
          <w:szCs w:val="15"/>
          <w:color w:val="auto"/>
        </w:rPr>
        <w:t>Fourth Image:</w:t>
        <w:tab/>
        <w:t>Full dexterity of the surgeon's wrists, hands and fingers are replicated real-time at the operative field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Gatefold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Captions</w:t>
      </w:r>
    </w:p>
    <w:p>
      <w:pPr>
        <w:spacing w:after="0" w:line="182"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Headline:</w:t>
        <w:tab/>
        <w:t>DA VINCI(TM) Surgical System</w:t>
      </w:r>
    </w:p>
    <w:p>
      <w:pPr>
        <w:spacing w:after="0" w:line="182" w:lineRule="exact"/>
        <w:rPr>
          <w:sz w:val="20"/>
          <w:szCs w:val="20"/>
          <w:color w:val="auto"/>
        </w:rPr>
      </w:pPr>
    </w:p>
    <w:p>
      <w:pPr>
        <w:ind w:left="1360" w:right="3259" w:hanging="1359"/>
        <w:spacing w:after="0" w:line="249" w:lineRule="auto"/>
        <w:tabs>
          <w:tab w:leader="none" w:pos="1340" w:val="left"/>
        </w:tabs>
        <w:rPr>
          <w:sz w:val="20"/>
          <w:szCs w:val="20"/>
          <w:color w:val="auto"/>
        </w:rPr>
      </w:pPr>
      <w:r>
        <w:rPr>
          <w:rFonts w:ascii="Courier New" w:cs="Courier New" w:eastAsia="Courier New" w:hAnsi="Courier New"/>
          <w:sz w:val="15"/>
          <w:szCs w:val="15"/>
          <w:color w:val="auto"/>
        </w:rPr>
        <w:t>Illustration:</w:t>
        <w:tab/>
        <w:t>This illustration, centered on the page, shows various operating room personnel performing a simulated surgery using Intuitive Surgical's DA VINCI(TM) Surgical System.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Legend across bottom of the page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Orange dot 1</w:t>
        <w:tab/>
        <w:t>Surgeon Console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Blue dot 2</w:t>
      </w:r>
      <w:r>
        <w:rPr>
          <w:sz w:val="20"/>
          <w:szCs w:val="20"/>
          <w:color w:val="auto"/>
        </w:rPr>
        <w:tab/>
      </w:r>
      <w:r>
        <w:rPr>
          <w:rFonts w:ascii="Courier New" w:cs="Courier New" w:eastAsia="Courier New" w:hAnsi="Courier New"/>
          <w:sz w:val="15"/>
          <w:szCs w:val="15"/>
          <w:color w:val="auto"/>
        </w:rPr>
        <w:t>Patient Side Cart</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Yellow dot 3</w:t>
        <w:tab/>
        <w:t>ENDOWRIST(TM) Instruments</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Teal dot 4</w:t>
      </w:r>
      <w:r>
        <w:rPr>
          <w:sz w:val="20"/>
          <w:szCs w:val="20"/>
          <w:color w:val="auto"/>
        </w:rPr>
        <w:tab/>
      </w:r>
      <w:r>
        <w:rPr>
          <w:rFonts w:ascii="Courier New" w:cs="Courier New" w:eastAsia="Courier New" w:hAnsi="Courier New"/>
          <w:sz w:val="15"/>
          <w:szCs w:val="15"/>
          <w:color w:val="auto"/>
        </w:rPr>
        <w:t>INSITE(TM) High-Resolution 3-D Endoscope</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Purple dot 5</w:t>
        <w:tab/>
        <w:t>INSITE(TM) Image Processing Equipment</w:t>
      </w:r>
    </w:p>
    <w:p>
      <w:pPr>
        <w:spacing w:after="0" w:line="182" w:lineRule="exact"/>
        <w:rPr>
          <w:sz w:val="20"/>
          <w:szCs w:val="20"/>
          <w:color w:val="auto"/>
        </w:rPr>
      </w:pPr>
    </w:p>
    <w:p>
      <w:pPr>
        <w:ind w:left="1180" w:right="3819" w:hanging="1190"/>
        <w:spacing w:after="0" w:line="250" w:lineRule="auto"/>
        <w:rPr>
          <w:sz w:val="20"/>
          <w:szCs w:val="20"/>
          <w:color w:val="auto"/>
        </w:rPr>
      </w:pPr>
      <w:r>
        <w:rPr>
          <w:rFonts w:ascii="Courier New" w:cs="Courier New" w:eastAsia="Courier New" w:hAnsi="Courier New"/>
          <w:sz w:val="15"/>
          <w:szCs w:val="15"/>
          <w:color w:val="auto"/>
        </w:rPr>
        <w:t>Bottom line: The DA VINCI(TM) Surgical System in a simulated operating environment</w:t>
      </w:r>
    </w:p>
    <w:p>
      <w:pPr>
        <w:sectPr>
          <w:pgSz w:w="11900" w:h="16838" w:orient="portrait"/>
          <w:cols w:equalWidth="0" w:num="1">
            <w:col w:w="10219"/>
          </w:cols>
          <w:pgMar w:left="240" w:top="29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ind w:left="284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881"/>
        </w:trPr>
        <w:tc>
          <w:tcPr>
            <w:tcW w:w="558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558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Dividend Policy.............................................</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Capitalization..............................................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 Data........................</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46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and Results of Operations.................................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Related Party Transactions..................................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Principal Stockholders......................................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Description of Capital Stock................................</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Underwriting................................................</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3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ABOUT THIS PROSPECTUS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authorized anyone to provide you with information different from that contained in this prospectus. This prospectus is not an offer to sell or a solicitation of an offer to buy our common stock in any jurisdiction where it is unlawful. The information contained in this prospectus is accurate only as of the date of this prospectus, regardless of the time of delivery of this prospectus or of any sale of common stock. This preliminary prospectus is subject to completion prior to this offering.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Until , 2000 (25 days after the commencement of this offering),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ectPr>
          <w:pgSz w:w="11900" w:h="16838" w:orient="portrait"/>
          <w:cols w:equalWidth="0" w:num="1">
            <w:col w:w="10219"/>
          </w:cols>
          <w:pgMar w:left="240" w:top="29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PROSPECTUS SUMMARY</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including "Risk Factors" and the financial statements and the notes to those statements, appearing elsewhere in this prospectus. Unless otherwise indicated, information in this prospectus assumes that the underwriters do not exercise their over-allotment option, assumes the conversion of all of our preferred stock into common stock upon completion of this offering and assumes the filing of our amended and restated certificate of incorporation immediately following the closing of this offering.</w:t>
      </w:r>
    </w:p>
    <w:p>
      <w:pPr>
        <w:spacing w:after="0" w:line="35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INTUITIVE SURGICAL</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fundamentally new generation of surgery. We believe this new generation of surgery, Intuitive surgery, represents an advance similar in magnitude to the previous two generations of surgery -- open surgery and minimally invasive surgery, or MIS. Our da Vinci Surgical System seamlessly translates the surgeon's natural hand movements on instrument controls at a console into corresponding micromovements of instruments positioned inside the patient through small puncture incisions, or ports. Our products provide the surgeon with the range of motion and fine tissue control previously possible only with open surgery, while simultaneously allowing the surgeon to work through small ports. To date, surgeons have performed over 600 surgical procedures using our da Vinci Surgical System.</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Although open surgery is still the predominant form of surgery, the large incisions required create significant trauma to the patient, often contributing to long hospitalization and recovery times, high hospitalization costs, as well as significant pain and suffering. Over the past several decades, physicians have made progress in reducing surgery-related trauma by developing MIS techniques. These techniques allow surgery to be performed through ports rather than large incisions, resulting in shorter recovery times and reduced hospitalization costs. MIS techniques have been widely adopted in certain surgical procedures, such as gall bladder removal, but have not been widely adopted for most complex surgical procedures. We believe surgeons have been slow to adopt MIS for many surgical procedures because of the inherent drawbacks with existing MIS tools and techniques, which include "backward" instrument movements, restricted range of motion, magnified hand tremor, lack of precision, difficulty in performing fine tissue manipulations, exaggerated instrument movements and poor visualization.</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Intuitive surgery overcomes many of the limitations of existing MIS surgery by using a broad technology platform consisting of computer hardware, software, algorithms, mechanics and optics to perform fine tissue manipulation through ports, in many parts of the body. Using our da Vinci Surgical System, the surgeon operates while seated comfortably at a console viewing a 3-D image of the surgical field. The surgeon's fingers grasp the instrument controls below the display with wrists naturally positioned relative to his or her eyes. Our technology seamlessly translates the surgeon's movements into precise, real-time movements of our surgical instruments inside the patient. The key advantages of Intuitive surgery over conventional MIS techniques include the following:</w:t>
      </w:r>
    </w:p>
    <w:p>
      <w:pPr>
        <w:spacing w:after="0" w:line="175" w:lineRule="exact"/>
        <w:rPr>
          <w:sz w:val="20"/>
          <w:szCs w:val="20"/>
          <w:color w:val="auto"/>
        </w:rPr>
      </w:pPr>
    </w:p>
    <w:p>
      <w:pPr>
        <w:jc w:val="both"/>
        <w:ind w:left="640" w:right="2979" w:hanging="188"/>
        <w:spacing w:after="0" w:line="249"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that directly transform the surgeon's hand, wrist and finger movements outside the patient's body into corresponding instrument micromovements inside the body;</w:t>
      </w:r>
    </w:p>
    <w:p>
      <w:pPr>
        <w:spacing w:after="0" w:line="175"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full range of motion for surgical instruments, previously available only in open surgery;</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reduced hand tremor and finer instrument movements as a result of</w:t>
      </w:r>
    </w:p>
    <w:p>
      <w:pPr>
        <w:spacing w:after="0" w:line="6" w:lineRule="exact"/>
        <w:rPr>
          <w:sz w:val="20"/>
          <w:szCs w:val="20"/>
          <w:color w:val="auto"/>
        </w:rPr>
      </w:pPr>
    </w:p>
    <w:p>
      <w:pPr>
        <w:ind w:left="3660" w:right="2979" w:hanging="3022"/>
        <w:spacing w:after="0" w:line="250" w:lineRule="auto"/>
        <w:rPr>
          <w:sz w:val="20"/>
          <w:szCs w:val="20"/>
          <w:color w:val="auto"/>
        </w:rPr>
      </w:pPr>
      <w:r>
        <w:rPr>
          <w:rFonts w:ascii="Courier New" w:cs="Courier New" w:eastAsia="Courier New" w:hAnsi="Courier New"/>
          <w:sz w:val="15"/>
          <w:szCs w:val="15"/>
          <w:color w:val="auto"/>
        </w:rPr>
        <w:t>computer enhancements of the surgeon's hand, wrist and finger movements; 1</w:t>
      </w:r>
    </w:p>
    <w:p>
      <w:pPr>
        <w:sectPr>
          <w:pgSz w:w="11900" w:h="16838" w:orient="portrait"/>
          <w:cols w:equalWidth="0" w:num="1">
            <w:col w:w="10219"/>
          </w:cols>
          <w:pgMar w:left="240" w:top="294" w:right="1440" w:bottom="1440" w:gutter="0" w:footer="0" w:header="0"/>
        </w:sectPr>
      </w:pPr>
    </w:p>
    <w:bookmarkStart w:id="6" w:name="page7"/>
    <w:bookmarkEnd w:id="6"/>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646" w:right="3539" w:hanging="188"/>
        <w:spacing w:after="0" w:line="250" w:lineRule="auto"/>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look and feel of open surgery enabled by our 3-D InSite vision system;</w:t>
      </w:r>
    </w:p>
    <w:p>
      <w:pPr>
        <w:spacing w:after="0" w:line="174" w:lineRule="exact"/>
        <w:rPr>
          <w:rFonts w:ascii="Courier New" w:cs="Courier New" w:eastAsia="Courier New" w:hAnsi="Courier New"/>
          <w:sz w:val="15"/>
          <w:szCs w:val="15"/>
          <w:color w:val="auto"/>
        </w:rPr>
      </w:pPr>
    </w:p>
    <w:p>
      <w:pPr>
        <w:ind w:left="646" w:right="2899" w:hanging="188"/>
        <w:spacing w:after="0" w:line="250" w:lineRule="auto"/>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 of use enabling surgeons to learn to use our products with a limited amount of training;</w:t>
      </w:r>
    </w:p>
    <w:p>
      <w:pPr>
        <w:spacing w:after="0" w:line="174" w:lineRule="exact"/>
        <w:rPr>
          <w:rFonts w:ascii="Courier New" w:cs="Courier New" w:eastAsia="Courier New" w:hAnsi="Courier New"/>
          <w:sz w:val="15"/>
          <w:szCs w:val="15"/>
          <w:color w:val="auto"/>
        </w:rPr>
      </w:pPr>
    </w:p>
    <w:p>
      <w:pPr>
        <w:ind w:left="646" w:hanging="188"/>
        <w:spacing w:after="0"/>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capability to perform complex surgical procedures; and</w:t>
      </w:r>
    </w:p>
    <w:p>
      <w:pPr>
        <w:spacing w:after="0" w:line="182" w:lineRule="exact"/>
        <w:rPr>
          <w:rFonts w:ascii="Courier New" w:cs="Courier New" w:eastAsia="Courier New" w:hAnsi="Courier New"/>
          <w:sz w:val="15"/>
          <w:szCs w:val="15"/>
          <w:color w:val="auto"/>
        </w:rPr>
      </w:pPr>
    </w:p>
    <w:p>
      <w:pPr>
        <w:ind w:left="646" w:right="3359" w:hanging="188"/>
        <w:spacing w:after="0" w:line="250" w:lineRule="auto"/>
        <w:tabs>
          <w:tab w:leader="none" w:pos="64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 applicability to multiple surgical procedures through a single surgical platform.</w:t>
      </w:r>
    </w:p>
    <w:p>
      <w:pPr>
        <w:spacing w:after="0" w:line="351"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Our products include our da Vinci Surgical System and a variety of "smart disposable" EndoWrist instruments that incorporate our flexible "wrist" joint technology. Our product revenues are generated primarily from the direct sale of</w:t>
      </w:r>
    </w:p>
    <w:p>
      <w:pPr>
        <w:spacing w:after="0" w:line="2" w:lineRule="exact"/>
        <w:rPr>
          <w:sz w:val="20"/>
          <w:szCs w:val="20"/>
          <w:color w:val="auto"/>
        </w:rPr>
      </w:pPr>
    </w:p>
    <w:p>
      <w:pPr>
        <w:ind w:left="6" w:right="3079" w:hanging="6"/>
        <w:spacing w:after="0" w:line="249" w:lineRule="auto"/>
        <w:tabs>
          <w:tab w:leader="none" w:pos="37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 Vinci Surgical System, consisting of a surgeon's console, a patient-side cart that holds electromechanical arms, and our 3-D InSite vision system and (2) our EndoWrist instruments, which include scissors, forceps, scalpels and a variety of other tools. Our instruments are resterilizable and the number of procedures or hours that each can perform is controlled by a custom computer chip. Because we have designed our EndoWrist instruments to expire after their recommended useful lives, we expect continuing sales of our EndoWrist instruments to generate recurring revenues.</w:t>
      </w:r>
    </w:p>
    <w:p>
      <w:pPr>
        <w:spacing w:after="0" w:line="200" w:lineRule="exact"/>
        <w:rPr>
          <w:sz w:val="20"/>
          <w:szCs w:val="20"/>
          <w:color w:val="auto"/>
        </w:rPr>
      </w:pPr>
    </w:p>
    <w:p>
      <w:pPr>
        <w:spacing w:after="0" w:line="328"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This year, we expect the U.S. Food and Drug Administration, or FDA, to approve use of the da Vinci Surgical System in laparoscopic surgical procedures, although we cannot assure investors as to when, or if, we will receive this approval. We believe that receiving this approval would make us the only company to have received FDA approval for a third generation surgical product. Laparoscopic surgery is surgery in the abdominal and pelvic areas of the body using an endoscope.</w:t>
      </w:r>
    </w:p>
    <w:p>
      <w:pPr>
        <w:spacing w:after="0" w:line="352" w:lineRule="exact"/>
        <w:rPr>
          <w:sz w:val="20"/>
          <w:szCs w:val="20"/>
          <w:color w:val="auto"/>
        </w:rPr>
      </w:pPr>
    </w:p>
    <w:p>
      <w:pPr>
        <w:ind w:left="6" w:right="3179" w:firstLine="458"/>
        <w:spacing w:after="0" w:line="249" w:lineRule="auto"/>
        <w:rPr>
          <w:sz w:val="20"/>
          <w:szCs w:val="20"/>
          <w:color w:val="auto"/>
        </w:rPr>
      </w:pPr>
      <w:r>
        <w:rPr>
          <w:rFonts w:ascii="Courier New" w:cs="Courier New" w:eastAsia="Courier New" w:hAnsi="Courier New"/>
          <w:sz w:val="15"/>
          <w:szCs w:val="15"/>
          <w:color w:val="auto"/>
        </w:rPr>
        <w:t>We have applied for trademark registration of, or claim trademark rights in, the following: Intuitive, da Vinci, EndoWrist, InSite, the Intuitive Surgical logo, Immersive and Navigator. Other trademarks and trade names appearing in this prospectus are the property of their holders.</w:t>
      </w:r>
    </w:p>
    <w:p>
      <w:pPr>
        <w:spacing w:after="0" w:line="35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We were incorporated in Delaware in November 1995 as Intuitive Surgical Devices, Inc. and changed our name to Intuitive Surgical, Inc. in January 1997. Our executive offices are located at 1340 W. Middlefield Road, Mountain View, California 94043, and our telephone number is (650) 237-7000. Our website is located at http://www.intuitivesurgical.com. Information contained on our website is not a part of this prospectus.</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4" w:top="29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OFFERING</w:t>
      </w:r>
    </w:p>
    <w:p>
      <w:pPr>
        <w:sectPr>
          <w:pgSz w:w="11900" w:h="16838" w:orient="portrait"/>
          <w:cols w:equalWidth="0" w:num="1">
            <w:col w:w="10219"/>
          </w:cols>
          <w:pgMar w:left="240" w:top="294" w:right="1440" w:bottom="1440" w:gutter="0" w:footer="0" w:header="0"/>
        </w:sect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offered..................</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8,000,000 shares</w:t>
      </w:r>
    </w:p>
    <w:p>
      <w:pPr>
        <w:spacing w:after="0" w:line="200"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line="335" w:lineRule="exact"/>
        <w:rPr>
          <w:sz w:val="20"/>
          <w:szCs w:val="20"/>
          <w:color w:val="auto"/>
        </w:rPr>
      </w:pPr>
    </w:p>
    <w:p>
      <w:pPr>
        <w:spacing w:after="0" w:line="250" w:lineRule="auto"/>
        <w:rPr>
          <w:sz w:val="20"/>
          <w:szCs w:val="20"/>
          <w:color w:val="auto"/>
        </w:rPr>
      </w:pPr>
      <w:r>
        <w:rPr>
          <w:rFonts w:ascii="Courier New" w:cs="Courier New" w:eastAsia="Courier New" w:hAnsi="Courier New"/>
          <w:sz w:val="15"/>
          <w:szCs w:val="15"/>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37,429,264 shares</w:t>
      </w:r>
    </w:p>
    <w:p>
      <w:pPr>
        <w:spacing w:after="0" w:line="207"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working capital and general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purposes.</w:t>
      </w:r>
    </w:p>
    <w:p>
      <w:pPr>
        <w:spacing w:after="0" w:line="182"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Proposed Nasdaq National Market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Symbol................................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"ISRG"</w:t>
      </w:r>
    </w:p>
    <w:p>
      <w:pPr>
        <w:spacing w:after="0" w:line="200" w:lineRule="exact"/>
        <w:rPr>
          <w:sz w:val="20"/>
          <w:szCs w:val="20"/>
          <w:color w:val="auto"/>
        </w:rPr>
      </w:pPr>
    </w:p>
    <w:p>
      <w:pPr>
        <w:sectPr>
          <w:pgSz w:w="11900" w:h="16838" w:orient="portrait"/>
          <w:cols w:equalWidth="0" w:num="2">
            <w:col w:w="3480" w:space="460"/>
            <w:col w:w="6279"/>
          </w:cols>
          <w:pgMar w:left="240" w:top="294" w:right="1440" w:bottom="1440" w:gutter="0" w:footer="0" w:header="0"/>
          <w:type w:val="continuous"/>
        </w:sectPr>
      </w:pPr>
    </w:p>
    <w:p>
      <w:pPr>
        <w:spacing w:after="0" w:line="1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number or shares of common stock to be outstanding after this offering is based on the number of shares of common stock outstanding as of March 31, 2000, and excludes:</w:t>
      </w:r>
    </w:p>
    <w:p>
      <w:pPr>
        <w:spacing w:after="0" w:line="200" w:lineRule="exact"/>
        <w:rPr>
          <w:sz w:val="20"/>
          <w:szCs w:val="20"/>
          <w:color w:val="auto"/>
        </w:rPr>
      </w:pPr>
    </w:p>
    <w:p>
      <w:pPr>
        <w:spacing w:after="0" w:line="328" w:lineRule="exact"/>
        <w:rPr>
          <w:sz w:val="20"/>
          <w:szCs w:val="20"/>
          <w:color w:val="auto"/>
        </w:rPr>
      </w:pPr>
    </w:p>
    <w:p>
      <w:pPr>
        <w:ind w:left="640" w:right="307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19,000 shares of common stock were granted in April 2000 at an exercise price of $3.00 per share;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our employee stock purchase plan;</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 and</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of common stock underlying a warrant issued in April 2000 at an exercise price of $3.00 per share.</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4"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3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35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tables summarize our consolidated financial data. The pro forma information contained in the consolidated statements of operations data gives effect to the automatic conversion of our preferred stock into common stock upon the completion of this offering. The as adjusted column of the consolidated balance sheet data gives effect to the automatic conversion of our preferred stock into common stock upon completion of this offering and reflects the sale of 8,000,000 shares of our common stock in this offering at the assumed initial public offering price of $12.00 per share, after deducting estimated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80" w:type="dxa"/>
            <w:vAlign w:val="bottom"/>
            <w:gridSpan w:val="5"/>
          </w:tcPr>
          <w:p>
            <w:pPr>
              <w:jc w:val="right"/>
              <w:ind w:right="624"/>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5"/>
                <w:szCs w:val="15"/>
                <w:color w:val="auto"/>
              </w:rPr>
            </w:pPr>
          </w:p>
        </w:tc>
        <w:tc>
          <w:tcPr>
            <w:tcW w:w="16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20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Courier New" w:cs="Courier New" w:eastAsia="Courier New" w:hAnsi="Courier New"/>
                <w:sz w:val="5"/>
                <w:szCs w:val="5"/>
                <w:color w:val="auto"/>
                <w:w w:val="97"/>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1999</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CONSOLIDATED STATEMENT OF</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OPERATIONS DATA</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$ 10,192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$ 2,933</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9,273</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919</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14,282</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23,208</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11,130</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3,963</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4,434</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7,565</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9,338</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1,787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Technology license..............</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Total operating costs and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24,716</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30,773</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20,468</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5,750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(24,716)</w:t>
            </w:r>
          </w:p>
        </w:tc>
        <w:tc>
          <w:tcPr>
            <w:tcW w:w="2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(30,773)</w:t>
            </w:r>
          </w:p>
        </w:tc>
        <w:tc>
          <w:tcPr>
            <w:tcW w:w="2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(19,549)</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(5,750)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 (expense), net....</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1,114</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1,330</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1,134</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$(23,602)</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$(29,443)</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$(18,415)</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$(5,561)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1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(11.24)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(1.27)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(0.90)</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in computing basic and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 net loss per share......</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2,100</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3,619</w:t>
            </w: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4,837</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4,369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w:t>
            </w:r>
          </w:p>
        </w:tc>
      </w:tr>
      <w:tr>
        <w:trPr>
          <w:trHeight w:val="176"/>
        </w:trPr>
        <w:tc>
          <w:tcPr>
            <w:tcW w:w="320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per share (unaudited)......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(0.79)</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(0.20)</w:t>
            </w: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in computing pro forma</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ind w:left="180"/>
              <w:spacing w:after="0"/>
              <w:rPr>
                <w:sz w:val="20"/>
                <w:szCs w:val="20"/>
                <w:color w:val="auto"/>
              </w:rPr>
            </w:pPr>
            <w:r>
              <w:rPr>
                <w:rFonts w:ascii="Courier New" w:cs="Courier New" w:eastAsia="Courier New" w:hAnsi="Courier New"/>
                <w:sz w:val="15"/>
                <w:szCs w:val="15"/>
                <w:color w:val="auto"/>
              </w:rPr>
              <w:t>basic and diluted net loss per</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 (unaudited)...............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23,331</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25,301</w:t>
            </w:r>
          </w:p>
        </w:tc>
      </w:tr>
      <w:tr>
        <w:trPr>
          <w:trHeight w:val="176"/>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21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AS OF MARCH 31, 2000</w:t>
            </w:r>
          </w:p>
        </w:tc>
      </w:tr>
      <w:tr>
        <w:trPr>
          <w:trHeight w:val="176"/>
        </w:trPr>
        <w:tc>
          <w:tcPr>
            <w:tcW w:w="558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ACTUAL</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6"/>
        </w:trPr>
        <w:tc>
          <w:tcPr>
            <w:tcW w:w="558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1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 investments...........</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$ 54,631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$142,886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51,726</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139,981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65,081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153,336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payable, less current portion.........................</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2,471</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(3,058)</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(80,179)</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52,334</w:t>
            </w:r>
          </w:p>
        </w:tc>
        <w:tc>
          <w:tcPr>
            <w:tcW w:w="10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140,589</w:t>
            </w:r>
          </w:p>
        </w:tc>
      </w:tr>
    </w:tbl>
    <w:p>
      <w:pPr>
        <w:spacing w:after="0" w:line="200" w:lineRule="exact"/>
        <w:rPr>
          <w:sz w:val="20"/>
          <w:szCs w:val="20"/>
          <w:color w:val="auto"/>
        </w:rPr>
      </w:pPr>
    </w:p>
    <w:p>
      <w:pPr>
        <w:sectPr>
          <w:pgSz w:w="11900" w:h="16838" w:orient="portrait"/>
          <w:cols w:equalWidth="0" w:num="1">
            <w:col w:w="10219"/>
          </w:cols>
          <w:pgMar w:left="240" w:top="294" w:right="1440" w:bottom="481" w:gutter="0" w:footer="0" w:header="0"/>
        </w:sectPr>
      </w:pPr>
    </w:p>
    <w:p>
      <w:pPr>
        <w:spacing w:after="0" w:line="33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4" w:right="1440" w:bottom="481"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An investment in our common stock is risky. You should carefully consider the following risks, as well as the other information contained in this prospectus. If any of the following risks actually occurs, our business could be harmed. In that case, the trading price of our common stock could decline, and you might lose all or part of your investment. The risks and uncertainties described below are not the only ones facing us. Additional risks and uncertainties not presently known to us, or that we currently see as immaterial, may also harm our business. If any of these additional risks or uncertainties occurs, the trading price of our common stock could decline, and you might lose all or part of your investment.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INTUITIVE SURGICAL</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OUR FUTURE OPERATING RESULTS MAY BE BELOW SECURITIES ANALYSTS' OR INVESTORS' EXPECTATIONS, WHICH COULD CAUSE OUR STOCK PRICE TO DECLINE.</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Because of our limited operating history, we have limited insight into trends that may emerge in our market and affect our business. The revenue and income potential of our market are unproven, and we may be unable to generate significant commercial revenues. In addition, our costs may be higher than we, securities analysts or investors expect. If we fail to generate sufficient revenues or our costs are higher than we expect, our results of operations will suffer, which in turn could cause our stock price to decline. Further, future revenue from sales of our products, if any, will be difficult to forecast because the market for new surgical technologies is still evolving. Our results of operations will depend upon numerous factors, including:</w:t>
      </w:r>
    </w:p>
    <w:p>
      <w:pPr>
        <w:spacing w:after="0" w:line="175" w:lineRule="exact"/>
        <w:rPr>
          <w:sz w:val="20"/>
          <w:szCs w:val="20"/>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and results of clinical trials;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relating to regulatory matters;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to which our products gain market acceptance;</w:t>
      </w:r>
    </w:p>
    <w:p>
      <w:pPr>
        <w:spacing w:after="0" w:line="182" w:lineRule="exact"/>
        <w:rPr>
          <w:rFonts w:ascii="Courier New" w:cs="Courier New" w:eastAsia="Courier New" w:hAnsi="Courier New"/>
          <w:sz w:val="15"/>
          <w:szCs w:val="15"/>
          <w:color w:val="auto"/>
        </w:rPr>
      </w:pPr>
    </w:p>
    <w:p>
      <w:pPr>
        <w:ind w:left="640" w:right="361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timing and ability to develop our manufacturing and sales and marketing capabilities;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our products;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of surgical training in the use of our products;</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develop, introduce and market new or enhanced versions of our products on a timely basis;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quality problems;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protect our proprietary rights;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license additional intellectual property rights;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payor reimbursement policies.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operating results in any particular period will not be a reliable indication of our future performance. It is likely that in some future quarters, our operating results will be below the expectations of securities analysts or investors. If this occurs, the price of our common stock, and the value of your investment, will likely decline.</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WE HAVE A LARGE ACCUMULATED DEFICIT, WE EXPECT FUTURE LOSSES, AND WE MAY NOT ACHIEVE OR MAINTAIN PROFITABILITY.</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incurred substantial losses since inception and we expect to incur substantial additional operating losses for at least the next two years, primarily as a result of expected increases in expenses for our manufacturing and sales and marketing capabilities, research and development activities, clinical trials and regulatory approval applications. The extent of our future losses and the timing of profitability are highly uncertain, and we may never achieve profitable operations. If the time required to generate significant revenues and achieve profitability is longer than anticipated, we may not be able to continue our operations. Our net loss for the year ended December 31, 1999 was $18.4 million and was $5.0 million for the three months ended March 31, 2000. As of March 31, 2000, we had an accumulated deficit of $80.2 million.</w:t>
      </w:r>
    </w:p>
    <w:p>
      <w:pPr>
        <w:spacing w:after="0" w:line="200" w:lineRule="exact"/>
        <w:rPr>
          <w:sz w:val="20"/>
          <w:szCs w:val="20"/>
          <w:color w:val="auto"/>
        </w:rPr>
      </w:pPr>
    </w:p>
    <w:p>
      <w:pPr>
        <w:spacing w:after="0" w:line="327"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WE EXPERIENCE LONG AND VARIABLE SALES CYCLES, WHICH COULD HAVE A NEGATIVE IMPACT ON OUR RESULTS OF OPERATIONS FOR ANY GIVEN QUARTER.</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generally requires the approval of senior management at purchasing institutions. We do not plan to maintain an inventory of assembled da Vinci Surgical Systems, but rather plan to manufacture our products only after receiving customer orders. These factors may contribute to substantial fluctuations in our quarterly operating results, particularly during the periods in which our sales volume is low. Because of these fluctuations, it is likely that in some future quarters, our operating results could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351"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IF OUR PRODUCTS DO NOT ACHIEVE MARKET ACCEPTANCE, WE WILL NOT BE ABLE TO GENERATE THE REVENUE NECESSARY TO SUPPORT OUR BUSINESS.</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products represent a fundamentally new way of performing surgery. Achieving physician, patient and third-party payor acceptance of Intuitive surgery as a preferred method of performing surgery will be crucial to our success. If our products fail to achieve market acceptance, hospitals will not purchase our products and we will not be able to generate the revenue necessary to support our business. We believe that physicians' and third-party payors' acceptance of the benefits of procedures performed using our products will be essential for acceptance of our products by patients. Physicians will not recommend the use of our products unless we can demonstrate that they produce results comparable or superior to existing surgical techniques. Even if we can prove the effectiveness of our products through clinical trials, surgeons may elect not to use our products for any number of other reasons. For example, cardiologists may continue to recommend conventional open heart surgery simply because such surgery is already so widely accepted. In addition, surgeons may be slow to adopt our products because of the perceived liability risks arising from the use of new products and the uncertainty of reimbursement from third-party payors.</w:t>
      </w:r>
    </w:p>
    <w:p>
      <w:pPr>
        <w:spacing w:after="0" w:line="363"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expect that there will be a learning process involved for surgical teams to become proficient in the use of our products. Broad use of our products will require training of surgical teams. Market acceptance could be delayed by the time required to complete this training. We may not be able to rapidly train surgical teams in numbers sufficient to generate adequate demand for our products. Although we are in the process of developing training programs for surgical teams, we cannot be certain that our training programs will be cost effective or sufficient to meet our customers' needs.</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OUR PRODUCTS ARE SUBJECT TO A LENGTHY AND UNCERTAIN DOMESTIC REGULATORY PROCESS. IF WE DO NOT OBTAIN AND MAINTAIN THE NECESSARY DOMESTIC REGULATORY APPROVALS, WE WILL NOT BE ABLE TO MARKET AND SELL OUR PRODUCTS IN THE UNITED STATES.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products are subject to extensive regulation in the United States by the U.S. Food and Drug Administration, or FDA. The FDA regulates the research, testing, manufacturing, safety, labeling, storage, recordkeeping, promotion, distribution and production of medical devices in the United States. Our products have not been approved by the FDA for any surgical procedure. If we fail to obtain FDA approval for the use of our products, our business will be harmed and we will not be able to market and sell our products in the United States. In November 1999, we submitted a premarket approval, or PMA, application requesting permission to market our da Vinci Surgical System and EndoWrist instruments for laparoscopic surgical procedures, which the FDA accepted for review in December 1999. In addition to the pending PMA application for laparoscopic approval, we presently have a clinical study in progress covering surgery in the chest called thoracoscopic surgery. A PMA application must be supported by valid scientific evidence, which typically includes extensive preclinical and clinical trials and other data, to demonstrate the safety and effectiveness of the device. Data obtained from clinical trials are subject to varying interpretations that could delay, limit or prevent us from obtaining FDA approval. In April 2000, we received a letter from the FDA setting forth a number of issues which need to be resolved prior to obtaining a PMA approval. We cannot assure you that we will successfully resolve these issues or obtain FDA approval for the use of our products in laparoscopic or other surgical procedures on a timely basis or at all. Even if our products are approved by the FDA, if we modify them, the FDA may require us to obtain approval of the modified products before we are permitted to market and sell them. We anticipate that the FDA will require a new PMA approval or PMA supplement approval for additional types of surgical procedures for which we propose to market our products. Any delay in receiving approval, failure to receive approval or failure to comply with existing or future regulatory requirements would harm our ability to market and sell our products. For additional information concerning regulatory approval of our products, see "Business -- Government Regulation."</w:t>
      </w:r>
    </w:p>
    <w:p>
      <w:pPr>
        <w:spacing w:after="0" w:line="200" w:lineRule="exact"/>
        <w:rPr>
          <w:sz w:val="20"/>
          <w:szCs w:val="20"/>
          <w:color w:val="auto"/>
        </w:rPr>
      </w:pPr>
    </w:p>
    <w:p>
      <w:pPr>
        <w:spacing w:after="0" w:line="34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OUR PRODUCTS ARE SUBJECT TO VARIOUS INTERNATIONAL REGULATORY PROCESSES AND APPROVAL REQUIREMENTS. IF WE DO NOT OBTAIN AND MAINTAIN THE NECESSARY INTERNATIONAL REGULATORY APPROVALS, WE WILL NOT BE ABLE TO MARKET AND SELL OUR PRODUCTS IN FOREIGN COUNTRIES.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To be able to market and sell our products in other countries, we must obtain regulatory approvals and comply with the regulations of those countries. These regulations, including the requirements for approvals, and the time required for regulatory review vary from country to country. Obtaining and maintaining foreign regulatory approvals are expensive, and we cannot be certain that we will receive regulatory approvals in any foreign country in which we plan to market our products. If we fail to obtain regulatory approval in any foreign country in which we plan to market our products, our ability to generate revenue will be harmed.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European Union requires that manufacturers of medical products obtain the right to affix the CE mark to their products before selling them in member countries of the European Union. The CE mark is an international symbol of adherence to quality assurance standards and compliance with applicable European medical device directives. In order to obtain the right to affix the CE mark to products, a manufacturer must obtain certification that its processes meet certain European quality standards. In January 1999, we received permission to affix the CE mark to our da Vinci Surgical System and EndoWrist instruments for general surgical use. We received additional CE approvals for use of our da Vinci Surgical System and EndoWrist instruments in cardiac surgery in September 1999 and February 2000.</w:t>
      </w: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If we modify existing products or develop new products in the future, including new instruments,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351"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INSTITUTIONS OR SURGEONS ARE UNABLE TO OBTAIN REIMBURSEMENT FROM THIRD-PARTY PAYORS FOR PROCEDURES USING OUR PRODUCTS, OR IF REIMBURSEMENT IS INSUFFICIENT TO COVER THE COSTS OF PURCHASING OUR PRODUCTS, WE MAY BE UNABLE TO GENERATE SUFFICIENT SALES TO SUPPORT OUR BUSINESS.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 device. We believe that unless the FDA approves our PMA application for a particular indication, such as laparoscopic use, reimbursement through Medicare will be unavailable in the United States for our products.</w:t>
      </w:r>
    </w:p>
    <w:p>
      <w:pPr>
        <w:spacing w:after="0" w:line="352"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Domestic institutions will typically bill the services performed with our products to various third-party payors, such as Medicare, Medicaid and other government programs and private insurance plans. If hospitals do not obtain sufficient reimbursement from third-party payors for procedures performed with our products, or if government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360"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success in international markets also depends upon the eligibility of our products for reimbursement through government-sponsored health care payment systems and third-party payors. Reimbursement practices vary significantly by country. Many international markets have government-managed healthcare systems that control reimbursement for new products and procedures. Other foreign markets have both private insurance systems and government-managed systems that control reimbursement for new products and procedures. Market acceptance of our products may depend on the availability and level of reimbursement in any country within a particular time. In addition, health care cost containment efforts similar to those we face in the United States are prevalent in many of the other countries in which we intend to sell our products and these efforts are expected to continue. For further information on third-party reimbursement policies, see "Business -- Third-Party Reimbursement."</w:t>
      </w:r>
    </w:p>
    <w:p>
      <w:pPr>
        <w:spacing w:after="0" w:line="184" w:lineRule="exact"/>
        <w:rPr>
          <w:sz w:val="20"/>
          <w:szCs w:val="20"/>
          <w:color w:val="auto"/>
        </w:rPr>
      </w:pPr>
    </w:p>
    <w:p>
      <w:pPr>
        <w:jc w:val="both"/>
        <w:ind w:right="2979"/>
        <w:spacing w:after="0" w:line="250" w:lineRule="auto"/>
        <w:rPr>
          <w:sz w:val="20"/>
          <w:szCs w:val="20"/>
          <w:color w:val="auto"/>
        </w:rPr>
      </w:pPr>
      <w:r>
        <w:rPr>
          <w:rFonts w:ascii="Courier New" w:cs="Courier New" w:eastAsia="Courier New" w:hAnsi="Courier New"/>
          <w:sz w:val="15"/>
          <w:szCs w:val="15"/>
          <w:color w:val="auto"/>
        </w:rPr>
        <w:t>IF WE ARE UNABLE TO PROTECT THE INTELLECTUAL PROPERTY CONTAINED IN OUR PRODUCTS FROM USE BY THIRD PARTIES, OUR ABILITY TO COMPETE IN THE MARKET WILL BE HARMED.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commercial success will depend in part on obtaining patent and other intellectual property protection for the technologies contained in our products, and on successfully defending our patents and other intellectual property against third party challenges.</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We will incur substantial costs in obtaining patents and, if necessary, defending our proprietary rights. The patent positions of medical device companies, including ours, can be highly uncertain and</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involve complex and evolving legal and factual questions. We cannot assure you that we will obtain the patent protection we seek, or that the protection we do obtain will be found valid and enforceable if challenged. We also cannot assure you that we will be able to develop additional patentable proprietary technologies. If we fail to obtain adequate protection of our intellectual property, or if any protection we obtain is reduced or eliminated, others could use our intellectual property without compensating us, resulting in harm to our business. We may also determine that it is in our best interests to voluntarily challenge a third party's products or patents in litigation or administrative proceedings, including patent interferences or reexaminations. Given the early priority dates of some of our licensed patents, we believe one or more patent proceedings may be in our best interests. In addition, the laws of certain foreign countries do not protect intellectual property rights to the same extent as do the laws of the United States.</w:t>
      </w:r>
    </w:p>
    <w:p>
      <w:pPr>
        <w:spacing w:after="0" w:line="361"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176"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are aware of both United States and foreign patents issued to third parties that relate to computer-assisted surgery and minimally invasive surgery. Some of these patents on their face appear broad enough to cover one or more aspects of our present technology, and may cover aspects of our future technology. We do not know whether any of these patents, if challenged, would be held valid, enforceable and infringed. From time to time, we receive, and likely will continue to receive, letters from third parties inviting us to license their patents. We may be sued by, or become involved in an administrative proceeding because of one or more of these third parties, regardless of the merits or likely outcome of such suit or proceeding. We cannot assure you that a court or administrative body would agree with any arguments or defenses we have concerning invalidity, unenforceability or noninfringement of any third-party patent. In addition to the issued patents of which we are aware, other parties may have filed, and in the future are likely to file, patent applications covering surgical products that are similar or identical to ours. We cannot assure you that any patents issuing from applications filed by a third party will not cover our products or will not have priority over our patent applications.</w:t>
      </w:r>
    </w:p>
    <w:p>
      <w:pPr>
        <w:spacing w:after="0" w:line="363"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medical device industry has been characterized by extensive litigation and administrative proceedings regarding patents and other intellectual property rights, and companies have employed such actions to gain a competitive advantage. If third parties assert infringement or other intellectual property claims against us, our technical and management personnel will experience a significant diversion of time and effort and we will incur large expenses defending ourselves. If third parties in any patent action are successful, our patent portfolio may be damaged, we may have to pay substantial damages, including treble damages, and we may be required to stop selling our products or obtain a license which, if available at all, may require us to pay substantial royalties. We cannot be certain that we will have the financial resources or the substantive arguments to defend our patents from infringement or claims of invalidity or unenforceability, or to defend against allegations of infringement of third-party patents. In addition, any public announcements related to litigation or administrative proceedings initiated by us, or initiated or threatened against us, could cause our stock price to decline.</w:t>
      </w:r>
    </w:p>
    <w:p>
      <w:pPr>
        <w:spacing w:after="0" w:line="36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RIGHTS AND MEASURES WE RELY ON TO PROTECT THE INTELLECTUAL PROPERTY UNDERLYING OUR PRODUCTS MAY NOT BE ADEQUATE TO PREVENT THIRD PARTIES FROM USING OUR TECHNOLOGY WHICH COULD HARM OUR ABILITY TO COMPETE IN THE MARKET.</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to patents, we typically rely on a combination of trade secret, copyright and trademark laws, nondisclosure agreements and other contractual provisions and technical security measures to protect our intellectual property rights. Nevertheless, these measures may not be</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adequate to safeguard the technology underlying our products. If they do not protect our rights adequately, third parties could use our technology, and our ability to compete in the market would be reduced. In addition, employees, consultants and others who participate in developing our products may breach their agreements with us regarding our intellectual property, and we may not have adequate remedies for the breach. We also may not be able to effectively protect our intellectual property rights in some foreign countries. For a variety of reasons, we may decide not to file for patent, copyright or trademark protection outside the United States. We also realize that our trade secrets may become known through other means not currently foreseen by us. Notwithstanding our efforts to protect our intellectual property, our competitors may independently develop similar or alternative technologies or products that are equal or superior to our technology and products without infringing any of our intellectual property rights, or may design around our proprietary technologies. For further information on our intellectual property and the difficulties in protecting it, see "Business -- Intellectual Property."</w:t>
      </w:r>
    </w:p>
    <w:p>
      <w:pPr>
        <w:spacing w:after="0" w:line="18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OUR PRODUCTS RELY ON LICENSES FROM THIRD PARTIES, AND IF WE LOSE ACCESS TO THESE TECHNOLOGIES, OUR REVENUES COULD DECLINE.</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rely on technology that we license from others, including technology that is integral to our products. We have entered into license agreements with SRI International, IBM, MIT and Heartport. Any of these agreements may be terminated for breach, including the failure to make required payments under the IBM license and the failure to commercialize our products under the SRI International license. If any of these agreements is terminated, we may be unable to reacquire the necessary license on satisfactory terms, or at all. The loss or failure to maintain these licenses could prevent or delay further development or commercialization of our products. See "Business -- Intellectual Property" for further information on our license agreements.</w:t>
      </w:r>
    </w:p>
    <w:p>
      <w:pPr>
        <w:spacing w:after="0" w:line="200" w:lineRule="exact"/>
        <w:rPr>
          <w:sz w:val="20"/>
          <w:szCs w:val="20"/>
          <w:color w:val="auto"/>
        </w:rPr>
      </w:pPr>
    </w:p>
    <w:p>
      <w:pPr>
        <w:spacing w:after="0" w:line="327"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BECAUSE OUR MARKETS ARE HIGHLY COMPETITIVE, CUSTOMERS MAY CHOOSE TO PURCHASE OUR COMPETITORS' PRODUCTS OR MAY NOT ACCEPT INTUITIVE SURGERY, WHICH WOULD RESULT IN REDUCED REVENUE AND LOSS OF MARKET SHARE.</w:t>
      </w:r>
    </w:p>
    <w:p>
      <w:pPr>
        <w:spacing w:after="0" w:line="200" w:lineRule="exact"/>
        <w:rPr>
          <w:sz w:val="20"/>
          <w:szCs w:val="20"/>
          <w:color w:val="auto"/>
        </w:rPr>
      </w:pPr>
    </w:p>
    <w:p>
      <w:pPr>
        <w:spacing w:after="0" w:line="32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Intuitive surgery is a new technology that must compete with established minimally invasive surgery and open surgery. These procedures are widely accepted in the medical community and in many cases have a long history of use. We also face competition from several companies that are developing new approaches and products for the minimally invasive surgery market. In addition, we presently face increasing competition from companies who are developing robotic and computer-assisted surgical systems. Our revenues may be reduced or eliminated if our competitors develop and market products that are more effective or less expensive than our products. If we are unable to compete successfully, our revenues will suffer. We may not be able to maintain or improve our competitive position against current or potential competitors, especially those with greater resources.</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many cases, the medical conditions that can be treated using our products can also be treated by pharmaceuticals or other medical devices and procedures. Many of these alternative treatments are also widely accepted in the medical community and have a long history of use. In addition, technological advances could make such treatments more effective or less expensive than using our products, which could render our products obsolete or unmarketable. We cannot be certain that physicians will use our products to replace or supplement established treatments or that our products will be competitive with current or future technologies.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SOFTWARE DEFECTS ARE DISCOVERED IN OUR PRODUCTS, WE MAY INCUR ADDITIONAL UNFORESEEN COSTS, HOSPITALS MAY NOT PURCHASE OUR PRODUCTS AND OUR REPUTATION MAY SUFFER.</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products incorporate sophisticated computer software. Complex software frequently contains errors or failures, especially when first introduced. In addition, new products or enhancements may contain undetected errors or performance problems that, despite testing, are discovered only after commercial shipment. Because our products are designed to be used to perform complex surgical procedures, we expect that our customers will have an increased sensitivity to software defects. We cannot assure you that our software will not experience errors or performance problems in the future. If we experience software errors or performance problems, any of the following could occur:</w:t>
      </w:r>
    </w:p>
    <w:p>
      <w:pPr>
        <w:spacing w:after="0" w:line="175" w:lineRule="exact"/>
        <w:rPr>
          <w:sz w:val="20"/>
          <w:szCs w:val="20"/>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revenue;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in market acceptance;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our resources;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to our reputation;</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service or warranty costs;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liability claims.</w:t>
      </w:r>
    </w:p>
    <w:p>
      <w:pPr>
        <w:spacing w:after="0" w:line="182"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WE HAVE LIMITED EXPERIENCE IN MANUFACTURING OUR PRODUCTS AND MAY ENCOUNTER MANUFACTURING PROBLEMS OR DELAYS THAT COULD RESULT IN LOST REVENUE.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manufactured a limited number of our products for prototypes and sales to customers. We may be unable to establish or maintain reliable, high-volume manufacturing capacity. Even if this capacity can be established and maintained, the cost of doing so may increase the cost of our products and reduce our ability to compete. We may encounter difficulties in scaling up production of our products, including:</w:t>
      </w:r>
    </w:p>
    <w:p>
      <w:pPr>
        <w:spacing w:after="0" w:line="176" w:lineRule="exact"/>
        <w:rPr>
          <w:sz w:val="20"/>
          <w:szCs w:val="20"/>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problems involving production yields;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control and assurance;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 supply shortages;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shortages of qualified personnel;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state, federal and foreign regulations.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Manufacturing our products is a complex process. We plan to manufacture products to fill purchase orders rather than to maintain inventories of our assembled products. If demand for our products exceeds our manufacturing capacity, we could develop a substantial backlog of customer orders. If we are unable to establish and maintain larger-scale manufacturing capabilities, our ability to generate revenues will be limited and our reputation in the marketplace would be damaged.</w:t>
      </w:r>
    </w:p>
    <w:p>
      <w:pPr>
        <w:spacing w:after="0" w:line="35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IF OUR MANUFACTURING FACILITIES DO NOT CONTINUE TO MEET FEDERAL, STATE OR EUROPEAN MANUFACTURING STANDARDS, WE MAY BE REQUIRED TO TEMPORARILY CEASE ALL OR PART OF OUR MANUFACTURING OPERATIONS, WHICH WOULD RESULT IN PRODUCT DELIVERY DELAYS AND LOST REVENUE.</w:t>
      </w:r>
    </w:p>
    <w:p>
      <w:pPr>
        <w:spacing w:after="0" w:line="352" w:lineRule="exact"/>
        <w:rPr>
          <w:sz w:val="20"/>
          <w:szCs w:val="20"/>
          <w:color w:val="auto"/>
        </w:rPr>
      </w:pPr>
    </w:p>
    <w:p>
      <w:pPr>
        <w:ind w:right="3079" w:firstLine="458"/>
        <w:spacing w:after="0" w:line="248" w:lineRule="auto"/>
        <w:rPr>
          <w:sz w:val="20"/>
          <w:szCs w:val="20"/>
          <w:color w:val="auto"/>
        </w:rPr>
      </w:pPr>
      <w:r>
        <w:rPr>
          <w:rFonts w:ascii="Courier New" w:cs="Courier New" w:eastAsia="Courier New" w:hAnsi="Courier New"/>
          <w:sz w:val="15"/>
          <w:szCs w:val="15"/>
          <w:color w:val="auto"/>
        </w:rPr>
        <w:t>Our manufacturing facilities are subject to periodic inspection by regulatory authorities and our operations will continue to be regulated by the FDA for compliance with Good Manufacturing</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Practice requirements. We are also required to comply with the ISO 9000 series standards in order to produce products for sale in Europe. If we fail to continue to comply with Good Manufacturing Practice requirements or ISO 9000 series standards, we may be required to cease all or part of our operations until we comply with these regulations. We are currently in compliance with ISO 9000 series standards. In March 2000, the FDA inspected our Mountain View facility and the Good Manufacturing Practice issues raised during the inspection have been resolved. Maintaining such compliance is difficult and costly. We cannot be certain that our facilities will be found to comply with Good Manufacturing Practice requirements or the ISO 9000 series standards in future audits by regulatory authorities.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state of California also requires that we maintain a license to manufacture medical devices. Our facilities and manufacturing processes were inspected in February 1998. In March 1998, we passed the inspection and received a device manufacturing license from the California Department of Health Services. We will be subject to periodic inspections by the California Department of Health Services and if we are unable to maintain this license following any future inspections, we will be unable to manufacture or ship any products.</w:t>
      </w:r>
    </w:p>
    <w:p>
      <w:pPr>
        <w:spacing w:after="0" w:line="35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OUR RELIANCE ON SOLE AND SINGLE SOURCE SUPPLIERS COULD HARM OUR ABILITY TO MEET DEMAND FOR OUR PRODUCTS IN A TIMELY MANNER OR WITHIN BUDGET.</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 Furthermore, if we are required to change the manufacturer of a key component of our products, we may be required to verify that the new manufacturer maintains facilities and procedures that comply with quality standards and with all applicable regulations and guidelines. The delays associated with the verification of a new manufacturer could delay our ability to manufacture our products in a timely manner or within budget.</w:t>
      </w:r>
    </w:p>
    <w:p>
      <w:pPr>
        <w:spacing w:after="0" w:line="18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THE USE OF OUR PRODUCTS COULD RESULT IN PRODUCT LIABILITY CLAIMS THAT COULD BE EXPENSIVE, DIVERT MANAGEMENT'S ATTENTION AND HARM OUR BUSINESS.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business exposes us to significant risks of product liability claims. The medical device industry has historically been litigious, and we face financial exposure to product liability claims if the use of our products were to cause injury or death. There is also the possibility that defects in the design or manufacture of our products might necessitate a product recall. Although we maintain product liability insurance, the coverage limits of these policies may not be adequate to cover future claims. Particularly as sales of our products increase, we may be unable to maintain product liability insurance in the future at satisfactory rates or adequate amounts. A product liability claim, regardless of its merit or eventual outcome, could result in significant legal defense costs. A product liability claim or any product recalls could also harm our reputation or result in a decline in revenues.</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OUR GROWTH WILL PLACE A SIGNIFICANT STRAIN ON OUR MANAGEMENT SYSTEMS AND RESOURCES AND, IF WE FAIL TO MANAGE OUR GROWTH, OUR ABILITY TO MARKET, SELL AND DEVELOP OUR PRODUCTS MAY BE HARMED.</w:t>
      </w:r>
    </w:p>
    <w:p>
      <w:pPr>
        <w:spacing w:after="0" w:line="176"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In order to complete clinical trials, scale-up manufacturing, expand marketing and distribution capabilities and develop future products, we must expand our operations. We expect that future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17</w:t>
      </w:r>
    </w:p>
    <w:p>
      <w:pPr>
        <w:spacing w:after="0" w:line="359"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expansion will occur particularly in the areas of sales and marketing, manufacturing and research and development. This expansion will likely result in new and increased responsibilities for management personnel and place significant strain upon our management, operating and financial systems and resources. We plan to sell our products primarily through direct sales, and we currently have a small sales organization. Our products require a complex marketing and sales effort targeted at several levels within a prospective customer's organization. We will need to expand our sales team significantly over the next 12 months to achieve our sales growth goals. We will face significant challenges and risks in building and managing our sales team, including managing geographically dispersed sales efforts and adequately training our sales people in the use and benefits of our products. To accommodate our growth and compete effectively, we will be required to improve our information systems, create additional procedures and controls and expand, train, motivate and manage our work force. Our future success will depend in part on the ability of current and future management personnel to operate effectively, both independently and as a group. We cannot be certain that our personnel, systems, procedures and controls will be adequate to support our future operations.</w:t>
      </w:r>
    </w:p>
    <w:p>
      <w:pPr>
        <w:spacing w:after="0" w:line="200" w:lineRule="exact"/>
        <w:rPr>
          <w:sz w:val="20"/>
          <w:szCs w:val="20"/>
          <w:color w:val="auto"/>
        </w:rPr>
      </w:pPr>
    </w:p>
    <w:p>
      <w:pPr>
        <w:spacing w:after="0" w:line="339"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IF WE LOSE OUR KEY PERSONNEL OR ARE UNABLE TO ATTRACT AND RETAIN ADDITIONAL PERSONNEL, OUR ABILITY TO COMPETE WILL BE HARMED.</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in particular Lonnie M. Smith, our President and Chief Executive Officer, Frederic H. Moll, M.D., our Vice President and Medical Director and Robert G. Younge, our Vice President and Chief Technology Officer. In order to pursue our product development, marketing and commercialization plans, we will need to hire additional qualified personnel with expertise in research and development, clinical testing, government regulation, manufacturing, sales and marketing, and finance. Our product development plans depend in part on our ability to attract and retain engineers with experience in mechanics, software and optics. Attracting and retaining qualified personnel will be critical to our success, and competition for qualified personnel is intense, particularly in Silicon Valley. We may not be able to attract and retain personnel on acceptable terms given the competition for such personnel among technology and healthcare companies, and universities. The loss of any of these persons or our inability to attract and retain qualified personnel could harm our business and our ability to compete.</w:t>
      </w:r>
    </w:p>
    <w:p>
      <w:pPr>
        <w:spacing w:after="0" w:line="200" w:lineRule="exact"/>
        <w:rPr>
          <w:sz w:val="20"/>
          <w:szCs w:val="20"/>
          <w:color w:val="auto"/>
        </w:rPr>
      </w:pPr>
    </w:p>
    <w:p>
      <w:pPr>
        <w:spacing w:after="0" w:line="338"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INTERNATIONAL SALES OF OUR PRODUCTS ACCOUNT FOR A SIGNIFICANT PORTION OF OUR REVENUES, WHICH EXPOSES US TO RISKS INHERENT IN INTERNATIONAL OPERATIONS. OUR GROWTH MAY BE LIMITED IF WE ARE UNABLE TO SUCCESSFULLY MANAGE OUR INTERNATIONAL ACTIVITIES.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business currently depends in large part on our activities in Europe, and a component of our growth strategy is to expand our presence into additional foreign markets. Sales to markets outside of the United States accounted for approximately 91% of our sales for the year ended December 31, 1999 and 56% for the three months ended March 31, 2000. We will be subject to a number of challenges that specifically relate to our international business activities. These challenges include:</w:t>
      </w:r>
    </w:p>
    <w:p>
      <w:pPr>
        <w:spacing w:after="0" w:line="352" w:lineRule="exact"/>
        <w:rPr>
          <w:sz w:val="20"/>
          <w:szCs w:val="20"/>
          <w:color w:val="auto"/>
        </w:rPr>
      </w:pPr>
    </w:p>
    <w:p>
      <w:pPr>
        <w:ind w:left="640" w:right="3179" w:hanging="188"/>
        <w:spacing w:after="0" w:line="250"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local laws to provide the same degree of protection against infringement of our intellectual property;</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protectionist laws and business practices that favor local competitors, which could slow our growth in international markets;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associated with foreign currency exchange rate fluctuation;</w:t>
      </w:r>
    </w:p>
    <w:p>
      <w:pPr>
        <w:spacing w:after="0" w:line="182"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of establishing facilities and operations in new foreign markets; and</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building an organization capable of supporting geographically dispersed operations.</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4" w:right="1440"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18</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Currently, a majority of our international sales are denominated in U.S. dollars. As a result, an increase in the value of the U.S. dollar relative to foreign currencies could make our products less competitive in international markets. If we are unable to meet and overcome these challenges, our international operations may not be successful, which would limit the growth of our business.</w:t>
      </w:r>
    </w:p>
    <w:p>
      <w:pPr>
        <w:spacing w:after="0" w:line="200" w:lineRule="exact"/>
        <w:rPr>
          <w:sz w:val="20"/>
          <w:szCs w:val="20"/>
          <w:color w:val="auto"/>
        </w:rPr>
      </w:pPr>
    </w:p>
    <w:p>
      <w:pPr>
        <w:spacing w:after="0" w:line="328"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FAILURE TO RAISE ADDITIONAL CAPITAL OR GENERATE THE SIGNIFICANT CAPITAL NECESSARY TO EXPAND OUR OPERATIONS AND INVEST IN NEW PRODUCTS COULD REDUCE OUR ABILITY TO COMPETE, RESULT IN LOWER REVENUES AND MAY PREVENT US FROM TAKING ADVANTAGE OF MARKET OPPORTUNITIES.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expect that our existing capital resources, revenue to be derived from the sale of our products and the net proceeds from this offering will be sufficient to meet our working capital and capital expenditure needs at least through 2001. After that, we may need to raise additional funds and we cannot be certain that we will be able to obtain additional financing on favorable terms, or at all. If we need additional capital and cannot raise it on acceptable terms, we may not be able to, among other things:</w:t>
      </w:r>
    </w:p>
    <w:p>
      <w:pPr>
        <w:spacing w:after="0" w:line="352" w:lineRule="exact"/>
        <w:rPr>
          <w:sz w:val="20"/>
          <w:szCs w:val="20"/>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or enhance our products and services;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technologies, products or businesses;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operations in the United States or internationally;</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train and retain employees;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 to competitive pressures or unanticipated capital requirements.</w:t>
      </w:r>
    </w:p>
    <w:p>
      <w:pPr>
        <w:spacing w:after="0" w:line="18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Our failure to do any of these things could result in lower revenues and could harm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OFFERING</w:t>
      </w:r>
    </w:p>
    <w:p>
      <w:pPr>
        <w:spacing w:after="0" w:line="182"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THE SUBSTANTIAL NUMBER OF SHARES THAT WILL BE ELIGIBLE FOR SALE IN THE NEAR FUTURE MAY CAUSE THE MARKET PRICE FOR OUR COMMON STOCK TO DECLINE.</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Sales of a substantial number of shares of our common stock in the public market following this offering could cause the market price of our common stock to decline. The number of shares of common stock available for sale in the public market is limited by restrictions under federal securities law and under some agreements that our stockholders have entered into with the underwriters and with us. Those lockup agreements restrict our stockholders from selling, pledging or otherwise disposing of their shares for a period of 180 days after the date of this prospectus without the prior written consent of Lehman Brothers Inc. However, Lehman Brothers Inc. may, in its sole discretion, release all or any portion of the common stock from the restrictions of the lockup agreements. The following table indicates approximately when the 29,429,264 shares of our common stock that are not being sold in the offering but which were outstanding as of March 31, 2000 will be eligible for sale into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ELIGIBILITY OF RESTRICTED</w:t>
            </w:r>
          </w:p>
        </w:tc>
        <w:tc>
          <w:tcPr>
            <w:tcW w:w="2880" w:type="dxa"/>
            <w:vAlign w:val="bottom"/>
          </w:tcPr>
          <w:p>
            <w:pPr>
              <w:spacing w:after="0"/>
              <w:rPr>
                <w:sz w:val="14"/>
                <w:szCs w:val="14"/>
                <w:color w:val="auto"/>
              </w:rPr>
            </w:pPr>
          </w:p>
        </w:tc>
      </w:tr>
      <w:tr>
        <w:trPr>
          <w:trHeight w:val="176"/>
        </w:trPr>
        <w:tc>
          <w:tcPr>
            <w:tcW w:w="3660" w:type="dxa"/>
            <w:vAlign w:val="bottom"/>
          </w:tcPr>
          <w:p>
            <w:pPr>
              <w:spacing w:after="0"/>
              <w:rPr>
                <w:sz w:val="15"/>
                <w:szCs w:val="15"/>
                <w:color w:val="auto"/>
              </w:rPr>
            </w:pP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SHARES FOR SALE</w:t>
            </w:r>
          </w:p>
        </w:tc>
        <w:tc>
          <w:tcPr>
            <w:tcW w:w="2880" w:type="dxa"/>
            <w:vAlign w:val="bottom"/>
          </w:tcPr>
          <w:p>
            <w:pPr>
              <w:spacing w:after="0"/>
              <w:rPr>
                <w:sz w:val="15"/>
                <w:szCs w:val="15"/>
                <w:color w:val="auto"/>
              </w:rPr>
            </w:pP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DAYS AFTER THE EFFECTIVE DATE</w:t>
            </w:r>
          </w:p>
        </w:tc>
        <w:tc>
          <w:tcPr>
            <w:tcW w:w="2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IN PUBLIC MARKET</w:t>
            </w:r>
          </w:p>
        </w:tc>
        <w:tc>
          <w:tcPr>
            <w:tcW w:w="2880" w:type="dxa"/>
            <w:vAlign w:val="bottom"/>
          </w:tcPr>
          <w:p>
            <w:pPr>
              <w:ind w:left="1140"/>
              <w:spacing w:after="0"/>
              <w:rPr>
                <w:sz w:val="20"/>
                <w:szCs w:val="20"/>
                <w:color w:val="auto"/>
              </w:rPr>
            </w:pPr>
            <w:r>
              <w:rPr>
                <w:rFonts w:ascii="Courier New" w:cs="Courier New" w:eastAsia="Courier New" w:hAnsi="Courier New"/>
                <w:sz w:val="15"/>
                <w:szCs w:val="15"/>
                <w:color w:val="auto"/>
              </w:rPr>
              <w:t>COMMENT</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On Effectiveness.......................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0</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Shares not locked-up and</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 144(k)</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180 days...............................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25,590,896</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Lock-up released; shares</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Rules 144,</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144(k) and 701</w:t>
            </w:r>
          </w:p>
        </w:tc>
      </w:tr>
      <w:tr>
        <w:trPr>
          <w:trHeight w:val="176"/>
        </w:trPr>
        <w:tc>
          <w:tcPr>
            <w:tcW w:w="36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At various times after 180 days........</w:t>
            </w:r>
          </w:p>
        </w:tc>
        <w:tc>
          <w:tcPr>
            <w:tcW w:w="252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3,838,368</w:t>
            </w: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Shares saleable under Rules</w:t>
            </w:r>
          </w:p>
        </w:tc>
      </w:tr>
      <w:tr>
        <w:trPr>
          <w:trHeight w:val="176"/>
        </w:trPr>
        <w:tc>
          <w:tcPr>
            <w:tcW w:w="36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880" w:type="dxa"/>
            <w:vAlign w:val="bottom"/>
          </w:tcPr>
          <w:p>
            <w:pPr>
              <w:ind w:left="140"/>
              <w:spacing w:after="0"/>
              <w:rPr>
                <w:sz w:val="20"/>
                <w:szCs w:val="20"/>
                <w:color w:val="auto"/>
              </w:rPr>
            </w:pPr>
            <w:r>
              <w:rPr>
                <w:rFonts w:ascii="Courier New" w:cs="Courier New" w:eastAsia="Courier New" w:hAnsi="Courier New"/>
                <w:sz w:val="15"/>
                <w:szCs w:val="15"/>
                <w:color w:val="auto"/>
              </w:rPr>
              <w:t>144, 144(k) and 701</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Additionally, of the 1,810,750 shares issuable upon exercise of options to purchase our common stock outstanding as of March 31, 2000, approximately 863,346 shares will be vested and eligible for</w:t>
      </w:r>
    </w:p>
    <w:p>
      <w:pPr>
        <w:sectPr>
          <w:pgSz w:w="11900" w:h="16838" w:orient="portrait"/>
          <w:cols w:equalWidth="0" w:num="1">
            <w:col w:w="10219"/>
          </w:cols>
          <w:pgMar w:left="240" w:top="294" w:right="1440" w:bottom="658"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4" w:right="1440" w:bottom="658"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19</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sale 180 days after the date of this prospectus. For a further description of the eligibility of shares for sale in to the public market following the offering, see "Shares Eligible for Future Sale."</w:t>
      </w:r>
    </w:p>
    <w:p>
      <w:pPr>
        <w:spacing w:after="0" w:line="35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 BOOK VALUE OF THE SHARES INVESTORS PURCHASE IN THIS OFFERING WILL BE SUBSTANTIALLY LESS THAN THE PRICE THAT INVESTORS PAY FOR THE SHARES, AND IF A LIQUIDATION WERE TO OCCUR, INVESTORS MIGHT RECEIVE SIGNIFICANTLY LESS THAN THE PURCHASE PRICE THE INVESTORS PAID FOR THE SHARES.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assumed initial public offering price is substantially higher than the book value per share of our common stock. Investors purchasing common stock in this offering will, therefore, incur immediate dilution of $8.24 in net tangible book value per share of common stock, based on an assumed initial public offering price of $12.00 per share. In addition, the number of shares available for issuance under our stock option and employee stock purchase plans will automatically increase without stockholder approval. Investors will incur additional dilution upon the exercise of outstanding stock options and warrants. As a result of this dilution, investors purchasing stock in this offering may receive significantly less than the full purchase price that they paid for the shares purchased in this offering in the event of a liquidation. See "Dilution" for a more detailed discussion of the dilution new investors will incur in this offering.</w:t>
      </w:r>
    </w:p>
    <w:p>
      <w:pPr>
        <w:spacing w:after="0" w:line="360"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OUR STOCK PRICE MAY BE VOLATILE BECAUSE OUR SHARES HAVE NOT BEEN PUBLICLY TRADED BEFORE, AND YOU MAY LOSE ALL OR PART OF YOUR INVESTMENT.</w:t>
      </w:r>
    </w:p>
    <w:p>
      <w:pPr>
        <w:spacing w:after="0" w:line="351"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and an active public market for our common stock may not develop or be sustained after the offering. The initial public offering price will be determined by negotiations between the representatives of the underwriters and us and may not be indicative of future market prices.</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market prices for securities of medical device companies in general have been highly volatile and may continue to be highly volatile in the future. The following factors, in addition to other risk factors described in this section, may have a significant impact on the market price of our common stock:</w:t>
      </w:r>
    </w:p>
    <w:p>
      <w:pPr>
        <w:spacing w:after="0" w:line="176" w:lineRule="exact"/>
        <w:rPr>
          <w:sz w:val="20"/>
          <w:szCs w:val="20"/>
          <w:color w:val="auto"/>
        </w:rPr>
      </w:pPr>
    </w:p>
    <w:p>
      <w:pPr>
        <w:ind w:left="640" w:right="2979" w:hanging="188"/>
        <w:spacing w:after="0" w:line="250"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commercial products by our competitors or us;</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proprietary rights, including patents by our competitors or us;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concerning our clinical trials;</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publicity regarding actual or potential medical results relating to products under development by our competitors or us;</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developments in the United States and foreign countries;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or other disputes and associated public announcements;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other external factors or other disaster or crisis; or</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period-to-period fluctuations in financial results.</w:t>
      </w:r>
    </w:p>
    <w:p>
      <w:pPr>
        <w:spacing w:after="0" w:line="18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WE ARE AT RISK OF SECURITIES CLASS ACTION LITIGATION DUE TO OUR EXPECTED STOCK PRICE VOLATILITY.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the past, securities class action litigation has often been brought against a company following a decline in the market price of its securities. This risk is especially acute for us because technology companies have experienced greater than average stock price volatility in recent years and, as a result, have been subject to, on average, a greater number of securities class action claims than companies in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20</w:t>
      </w:r>
    </w:p>
    <w:p>
      <w:pPr>
        <w:spacing w:after="0" w:line="359"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other industries. We may in the future be the target of similar litigation. Securities litigation could result in substantial costs and divert management's attention and resources and could harm our business.</w:t>
      </w:r>
    </w:p>
    <w:p>
      <w:pPr>
        <w:spacing w:after="0" w:line="35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WE HAVE IMPLEMENTED ANTI-TAKEOVER PROVISIONS WHICH COULD DISCOURAGE OR PREVENT A TAKEOVER, EVEN IF AN ACQUISITION WOULD BE BENEFICIAL TO OUR STOCKHOLDERS.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Provisions of our amended and restated certificate of incorporation and bylaws, as well as provisions of Delaware law, could make it more difficult for a third-party to acquire us, even if doing so would be beneficial to our stockholders. These provisions include:</w:t>
      </w:r>
    </w:p>
    <w:p>
      <w:pPr>
        <w:spacing w:after="0" w:line="352" w:lineRule="exact"/>
        <w:rPr>
          <w:sz w:val="20"/>
          <w:szCs w:val="20"/>
          <w:color w:val="auto"/>
        </w:rPr>
      </w:pPr>
    </w:p>
    <w:p>
      <w:pPr>
        <w:ind w:left="640" w:right="29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 classified board of directors that prevents a majority of the board from being elected at one time;</w:t>
      </w:r>
    </w:p>
    <w:p>
      <w:pPr>
        <w:spacing w:after="0" w:line="350"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authorizing the issuance of "blank check" preferred stock that could be issued by our board of directors to increase the number of outstanding shares and thwart a takeover attempt;</w:t>
      </w:r>
    </w:p>
    <w:p>
      <w:pPr>
        <w:spacing w:after="0" w:line="175" w:lineRule="exact"/>
        <w:rPr>
          <w:rFonts w:ascii="Courier New" w:cs="Courier New" w:eastAsia="Courier New" w:hAnsi="Courier New"/>
          <w:sz w:val="15"/>
          <w:szCs w:val="15"/>
          <w:color w:val="auto"/>
        </w:rPr>
      </w:pPr>
    </w:p>
    <w:p>
      <w:pPr>
        <w:ind w:left="640" w:right="307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cumulative voting in the election of directors, which would otherwise allow less than a majority of stockholders to elect director candidates;</w:t>
      </w:r>
    </w:p>
    <w:p>
      <w:pPr>
        <w:spacing w:after="0" w:line="175"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ability of stockholders to call special meetings of stockholders;</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stockholder action by written consent, thereby requiring all stockholder actions to be taken at a meeting of stockholders; and</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establishing advance notice requirements for nominations for election to the board of directors or for proposing matters that can be acted upon by stockholders at stockholder meetings.</w:t>
      </w:r>
    </w:p>
    <w:p>
      <w:pPr>
        <w:spacing w:after="0" w:line="176"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In addition, Section 203 of the Delaware General Corporation Law and the terms of our stock option plans may discourage, delay or prevent a change in control of Intuitive Surgical.</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CONCENTRATION OF OWNERSHIP AMONG OUR EXISTING EXECUTIVE OFFICERS, DIRECTORS AND PRINCIPAL STOCKHOLDERS MAY PREVENT NEW INVESTORS FROM INFLUENCING SIGNIFICANT CORPORATE DECISIONS.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our executive officers, directors and principal stockholders will beneficially own, in the aggregate, approximately 58.2% of our outstanding common stock. These stockholders as a group will be able to exercise control over all matters requiring stockholder approval, including the election of directors, any merger, consolidation or sale of all or substantially all of our assets and any other significant corporation transactions. This could have the effect of delaying or preventing a change of control of Intuitive Surgical and will make some transactions difficult or impossible without the support of these stockholders. See "Principal Stockholders" for details of our stock ownership.</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21</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Some of the statements under the captions "Prospectus Summary," "Risk Factors," "Use of Proceeds," "Management's Discussion and Analysis of Financial Condition and Results of Operations" and "Business" and elsewhere in this prospectus are "forward-looking statements." These forward-looking statements include, but are not limited to, statements about our plans, objectives, expectations and intentions and other statements contained in the prospectus that are not historical facts. When used in this prospectus, the words "anticipates," "believes," "continue," "could," "estimates," "expects," "intends," "may," "plans," "potential," "predicts," "seeks," "should" or "will" or the negative of these terms or other similar expressions are generally intended to identify forward-looking statements. Because these forward-looking statements involve risks and uncertainties, there are important factors that could cause actual results to differ materially from those expressed or implied by these forward-looking statements, including our plans, objectives, expectations and intentions and other factors discussed under "Risk Factors."</w:t>
      </w:r>
    </w:p>
    <w:p>
      <w:pPr>
        <w:spacing w:after="0" w:line="18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Although we believe that the expectations reflected in the forward-looking statements are reasonable, we cannot guarantee future results, levels of activity, performance or achievements. We are not under any duty to update any of the forward-looking statements after the date of this prospectus to conform these statements to actual results, unless required by law.</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9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22</w:t>
      </w:r>
    </w:p>
    <w:p>
      <w:pPr>
        <w:spacing w:after="0" w:line="18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USE OF PROCEEDS</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estimate that the net proceeds to us from the sale of the 8,000,000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of our common stock will be approximately $88.3 million,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$101.6 million if the underwriters' over-allotment option is exercised in full,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an assumed initial public offering price of $12.00 per share, after deducting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underwriting discounts and commissions and estimated offering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intend to use the net proceeds of this offering primarily for additional working capital and other general corporate purposes, including increased expenditures for research and development, sales and marketing, and selling, general and administrative. The amounts and timing of these expenditures will vary depending on a number of factors, including the amount of cash generated by our operations, competitive and technological developments and the rate of growth, if any, of our business. We may also use a portion of the net proceeds to acquire additional businesses, products and technologies, to lease additional facilities, or to establish joint ventures that we believe will complement our current or future business. However, we have no specific plans, agreements or commitments to do so and are not currently engaged in any negotiations for any business acquisition or joint venture.</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principal purposes of this offering are to increase our capitalization and financial flexibility, increase our visibility in the marketplace and create a public market for our common stock. As of the date of this prospectus, we cannot specify with certainty all of the particular uses for the net proceeds of this offering. Accordingly, we will retain broad discretion in the allocation of the net proceeds of this offering. Pending the uses described above, we will invest the net proceeds of this offering in short term interest bearing, investment-grade securities. We cannot predict whether the proceeds will be invested to yield a favorable return. We believe that our available cash, together with the net proceeds of this offering, will be sufficient to meet our capital requirements for at least the next 12 months.</w:t>
      </w:r>
    </w:p>
    <w:p>
      <w:pPr>
        <w:spacing w:after="0" w:line="35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DIVIDEND POLICY</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never declared or paid any cash dividends. We currently expect to retain earnings for use in the operation and expansion of our business, and therefore do not anticipate paying any cash dividends for at least the next four years.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23</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CAPITALIZATION</w:t>
      </w:r>
    </w:p>
    <w:p>
      <w:pPr>
        <w:spacing w:after="0" w:line="359"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The following table sets forth our actual capitalization as of March 31, 2000. Our capitalization is also presented:</w:t>
      </w:r>
    </w:p>
    <w:p>
      <w:pPr>
        <w:spacing w:after="0" w:line="200" w:lineRule="exact"/>
        <w:rPr>
          <w:sz w:val="20"/>
          <w:szCs w:val="20"/>
          <w:color w:val="auto"/>
        </w:rPr>
      </w:pPr>
    </w:p>
    <w:p>
      <w:pPr>
        <w:spacing w:after="0" w:line="327" w:lineRule="exact"/>
        <w:rPr>
          <w:sz w:val="20"/>
          <w:szCs w:val="20"/>
          <w:color w:val="auto"/>
        </w:rPr>
      </w:pPr>
    </w:p>
    <w:p>
      <w:pPr>
        <w:ind w:left="640" w:right="3079" w:hanging="188"/>
        <w:spacing w:after="0" w:line="249" w:lineRule="auto"/>
        <w:tabs>
          <w:tab w:leader="none" w:pos="6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basis to give effect to the automatic conversion of our preferred stock into an aggregate of 22,728,250 shares of common stock, which will occur upon the closing of this offering; and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 pro forma as adjusted basis to give effect to the automatic conversion of our preferred stock into common stock upon closing of this offering and to reflect our receipt of net proceeds from the sale of 8,000,000 shares of common stock in this offering at an assumed initial public offering price of $12.00 per share, after deducting estimated underwriting discounts and commissions and estimated offering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2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AS OF MARCH 31, 2000</w:t>
            </w:r>
          </w:p>
        </w:tc>
      </w:tr>
      <w:tr>
        <w:trPr>
          <w:trHeight w:val="176"/>
        </w:trPr>
        <w:tc>
          <w:tcPr>
            <w:tcW w:w="5580" w:type="dxa"/>
            <w:vAlign w:val="bottom"/>
          </w:tcPr>
          <w:p>
            <w:pPr>
              <w:spacing w:after="0"/>
              <w:rPr>
                <w:sz w:val="15"/>
                <w:szCs w:val="15"/>
                <w:color w:val="auto"/>
              </w:rPr>
            </w:pPr>
          </w:p>
        </w:tc>
        <w:tc>
          <w:tcPr>
            <w:tcW w:w="340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ACTUAL</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 FORMA</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3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SHARE AMOUNTS)</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2,471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2,471</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2,471</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$0.001 par value; 30,000,000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authorized, actual and 5,000,000 shares authorized, pro</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forma and pro forma as adjusted; 22,728,250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actual; none issued and</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outstanding, pro forma and pro forma as adjusted.......</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Common Stock, $0.001 par value; 45,000,000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authorized, actual; 200,000,000 shares authorized, pro</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forma and pro forma as adjusted; 6,701,014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actual; 29,429,264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pro forma; 37,429,264 shares</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issued and outstanding, pro forma as adjusted..........</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37</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135,781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135,782</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224,029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(3,058)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(3,058)</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(80,179)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(80,179)</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52,334</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52,334</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140,589</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ind w:left="460"/>
              <w:spacing w:after="0"/>
              <w:rPr>
                <w:sz w:val="20"/>
                <w:szCs w:val="20"/>
                <w:color w:val="auto"/>
              </w:rPr>
            </w:pPr>
            <w:r>
              <w:rPr>
                <w:rFonts w:ascii="Courier New" w:cs="Courier New" w:eastAsia="Courier New" w:hAnsi="Courier New"/>
                <w:sz w:val="15"/>
                <w:szCs w:val="15"/>
                <w:color w:val="auto"/>
              </w:rPr>
              <w:t>Total capitalization...................................</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54,805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$ 54,805</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$143,060</w:t>
            </w:r>
          </w:p>
        </w:tc>
      </w:tr>
      <w:tr>
        <w:trPr>
          <w:trHeight w:val="176"/>
        </w:trPr>
        <w:tc>
          <w:tcPr>
            <w:tcW w:w="5580" w:type="dxa"/>
            <w:vAlign w:val="bottom"/>
          </w:tcPr>
          <w:p>
            <w:pPr>
              <w:spacing w:after="0"/>
              <w:rPr>
                <w:sz w:val="15"/>
                <w:szCs w:val="15"/>
                <w:color w:val="auto"/>
              </w:rPr>
            </w:pPr>
          </w:p>
        </w:tc>
        <w:tc>
          <w:tcPr>
            <w:tcW w:w="10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The number of shares of common stock to be outstanding after the offering is based on the number of common shares outstanding as of March 31, 2000 and excludes:</w:t>
      </w:r>
    </w:p>
    <w:p>
      <w:pPr>
        <w:spacing w:after="0" w:line="200" w:lineRule="exact"/>
        <w:rPr>
          <w:sz w:val="20"/>
          <w:szCs w:val="20"/>
          <w:color w:val="auto"/>
        </w:rPr>
      </w:pPr>
    </w:p>
    <w:p>
      <w:pPr>
        <w:spacing w:after="0" w:line="328" w:lineRule="exact"/>
        <w:rPr>
          <w:sz w:val="20"/>
          <w:szCs w:val="20"/>
          <w:color w:val="auto"/>
        </w:rPr>
      </w:pPr>
    </w:p>
    <w:p>
      <w:pPr>
        <w:ind w:left="640" w:right="30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19,000 shares of common stock were granted in April 2000 at an exercise price of $3.00 per share;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640" w:right="31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our employee stock purchase plan;</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 and</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 shares of common stock underlying a warrant issued in April 2000 at an exercise price of $3.00 per share.</w:t>
      </w:r>
    </w:p>
    <w:p>
      <w:pPr>
        <w:sectPr>
          <w:pgSz w:w="11900" w:h="16838" w:orient="portrait"/>
          <w:cols w:equalWidth="0" w:num="1">
            <w:col w:w="10219"/>
          </w:cols>
          <w:pgMar w:left="240" w:top="294" w:right="1440" w:bottom="0" w:gutter="0" w:footer="0" w:header="0"/>
        </w:sectPr>
      </w:pPr>
    </w:p>
    <w:bookmarkStart w:id="24" w:name="page25"/>
    <w:bookmarkEnd w:id="24"/>
    <w:p>
      <w:pPr>
        <w:ind w:right="2979" w:firstLine="458"/>
        <w:spacing w:after="0" w:line="249" w:lineRule="auto"/>
        <w:rPr>
          <w:sz w:val="20"/>
          <w:szCs w:val="20"/>
          <w:color w:val="auto"/>
        </w:rPr>
      </w:pPr>
      <w:r>
        <w:rPr>
          <w:rFonts w:ascii="Courier New" w:cs="Courier New" w:eastAsia="Courier New" w:hAnsi="Courier New"/>
          <w:sz w:val="15"/>
          <w:szCs w:val="15"/>
          <w:color w:val="auto"/>
        </w:rPr>
        <w:t>See "Selected Consolidated Financial Data," "Management's Discussion and Analysis of Financial Condition and Results of Operations" and the consolidated financial statements and related notes included in this prospectus.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318"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DILUTION</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pro forma net tangible book value of our common stock, on March 31, 2000, after giving effect to the conversion of all outstanding shares of preferred stock upon the closing of the offering, was approximately $52.3 million, or approximately $1.78 per share. Pro forma net tangible book value per share represents the amount of our total tangible assets less total liabilities divided by the number of shares of common stock outstanding. Dilution in pro forma net tangible book value per share represents the difference between the amount per share paid by purchasers of shares of common stock in this offering and the net tangible book value per share of our common stock immediately afterwards. Assuming our sale of 8,000,000 shares of common stock offered by this prospectus at an assumed initial public offering price of $12.00 per share, and after deducting estimated underwriting discounts and commissions and estimated offering expenses, our net tangible book value at March 31, 2000 would have been approximately $140.6 million or $3.76 per share. This represents an immediate decrease in net tangible book value of $8.24 per share to new investors purchasing shares of common stock in this offering. The following table illustrates this dilution: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Assumed initial public offering.............................</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$ 12.00</w:t>
            </w:r>
          </w:p>
        </w:tc>
      </w:tr>
      <w:tr>
        <w:trPr>
          <w:trHeight w:val="176"/>
        </w:trPr>
        <w:tc>
          <w:tcPr>
            <w:tcW w:w="55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 forma net tangible book value per share at March 31,</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  1.78</w:t>
            </w: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Increase per share attributable to new investors..........</w:t>
            </w: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1.98</w:t>
            </w:r>
          </w:p>
        </w:tc>
      </w:tr>
      <w:tr>
        <w:trPr>
          <w:trHeight w:val="176"/>
        </w:trPr>
        <w:tc>
          <w:tcPr>
            <w:tcW w:w="5580" w:type="dxa"/>
            <w:vAlign w:val="bottom"/>
          </w:tcPr>
          <w:p>
            <w:pPr>
              <w:spacing w:after="0"/>
              <w:rPr>
                <w:sz w:val="15"/>
                <w:szCs w:val="15"/>
                <w:color w:val="auto"/>
              </w:rPr>
            </w:pPr>
          </w:p>
        </w:tc>
        <w:tc>
          <w:tcPr>
            <w:tcW w:w="1740" w:type="dxa"/>
            <w:vAlign w:val="bottom"/>
          </w:tcPr>
          <w:p>
            <w:pPr>
              <w:jc w:val="right"/>
              <w:ind w:right="9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Pro forma net tangible book value per share after this</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offering..................................................</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r>
      <w:tr>
        <w:trPr>
          <w:trHeight w:val="176"/>
        </w:trPr>
        <w:tc>
          <w:tcPr>
            <w:tcW w:w="55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Dilution in net tangible book value per share to new</w:t>
            </w:r>
          </w:p>
        </w:tc>
        <w:tc>
          <w:tcPr>
            <w:tcW w:w="1740" w:type="dxa"/>
            <w:vAlign w:val="bottom"/>
          </w:tcPr>
          <w:p>
            <w:pPr>
              <w:spacing w:after="0"/>
              <w:rPr>
                <w:sz w:val="15"/>
                <w:szCs w:val="15"/>
                <w:color w:val="auto"/>
              </w:rPr>
            </w:pPr>
          </w:p>
        </w:tc>
      </w:tr>
      <w:tr>
        <w:trPr>
          <w:trHeight w:val="176"/>
        </w:trPr>
        <w:tc>
          <w:tcPr>
            <w:tcW w:w="5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investors.................................................</w:t>
            </w: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  8.24</w:t>
            </w:r>
          </w:p>
        </w:tc>
      </w:tr>
      <w:tr>
        <w:trPr>
          <w:trHeight w:val="176"/>
        </w:trPr>
        <w:tc>
          <w:tcPr>
            <w:tcW w:w="558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the underwriters' over-allotment option were exercised in full, the pro forma net tangible book value per share after the offering would be $3.99 per share, the increase in net tangible book value per share to existing stockholders would be $2.21 per share and the dilution in net tangible book value to new investors would be $8.01 per share.</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table summarizes, on a pro forma basis, as of March 31, 2000, the differences between the total consideration paid and the average price per share paid by the existing stockholders and the new investors with respect to the number of shares of common stock purchased from us based on an assumed public offering price of $12.00 per share. We have not deducted estimated underwriting discounts and commissions and estimated offering expenses in our calculations.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2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PURCHASED</w:t>
            </w:r>
          </w:p>
        </w:tc>
        <w:tc>
          <w:tcPr>
            <w:tcW w:w="246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TOTAL CONSIDERATION</w:t>
            </w:r>
          </w:p>
        </w:tc>
        <w:tc>
          <w:tcPr>
            <w:tcW w:w="1340" w:type="dxa"/>
            <w:vAlign w:val="bottom"/>
          </w:tcPr>
          <w:p>
            <w:pPr>
              <w:spacing w:after="0"/>
              <w:rPr>
                <w:sz w:val="14"/>
                <w:szCs w:val="14"/>
                <w:color w:val="auto"/>
              </w:rPr>
            </w:pPr>
          </w:p>
        </w:tc>
      </w:tr>
      <w:tr>
        <w:trPr>
          <w:trHeight w:val="176"/>
        </w:trPr>
        <w:tc>
          <w:tcPr>
            <w:tcW w:w="2660" w:type="dxa"/>
            <w:vAlign w:val="bottom"/>
          </w:tcPr>
          <w:p>
            <w:pPr>
              <w:spacing w:after="0"/>
              <w:rPr>
                <w:sz w:val="15"/>
                <w:szCs w:val="15"/>
                <w:color w:val="auto"/>
              </w:rPr>
            </w:pPr>
          </w:p>
        </w:tc>
        <w:tc>
          <w:tcPr>
            <w:tcW w:w="22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AVERAGE PRICE</w:t>
            </w:r>
          </w:p>
        </w:tc>
      </w:tr>
      <w:tr>
        <w:trPr>
          <w:trHeight w:val="176"/>
        </w:trPr>
        <w:tc>
          <w:tcPr>
            <w:tcW w:w="2660" w:type="dxa"/>
            <w:vAlign w:val="bottom"/>
          </w:tcPr>
          <w:p>
            <w:pPr>
              <w:spacing w:after="0"/>
              <w:rPr>
                <w:sz w:val="15"/>
                <w:szCs w:val="15"/>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NUMBER</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PERCENT</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PERCENT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352"/>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Existing stockholders.......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29,429,264</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$129,801,000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57%</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4.41</w:t>
            </w: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New stockholders............</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8,000,000</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96,000,000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w:t>
            </w: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12.00</w:t>
            </w: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6"/>
        </w:trPr>
        <w:tc>
          <w:tcPr>
            <w:tcW w:w="2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37,429,264</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$225,801,000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w:t>
            </w:r>
          </w:p>
        </w:tc>
        <w:tc>
          <w:tcPr>
            <w:tcW w:w="1340" w:type="dxa"/>
            <w:vAlign w:val="bottom"/>
          </w:tcPr>
          <w:p>
            <w:pPr>
              <w:spacing w:after="0"/>
              <w:rPr>
                <w:sz w:val="15"/>
                <w:szCs w:val="15"/>
                <w:color w:val="auto"/>
              </w:rPr>
            </w:pPr>
          </w:p>
        </w:tc>
      </w:tr>
      <w:tr>
        <w:trPr>
          <w:trHeight w:val="176"/>
        </w:trPr>
        <w:tc>
          <w:tcPr>
            <w:tcW w:w="266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99" w:firstLine="458"/>
        <w:spacing w:after="0" w:line="252" w:lineRule="auto"/>
        <w:rPr>
          <w:sz w:val="20"/>
          <w:szCs w:val="20"/>
          <w:color w:val="auto"/>
        </w:rPr>
      </w:pPr>
      <w:r>
        <w:rPr>
          <w:rFonts w:ascii="Courier New" w:cs="Courier New" w:eastAsia="Courier New" w:hAnsi="Courier New"/>
          <w:sz w:val="15"/>
          <w:szCs w:val="15"/>
          <w:color w:val="auto"/>
        </w:rPr>
        <w:t>The foregoing discussion and tables do not assume the exercise of any stock options or warrants outstanding at March 31, 2000. At March 31, 2000, there were: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40" w:right="3079" w:hanging="188"/>
        <w:spacing w:after="0" w:line="250"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1,810,750 shares of common stock underlying options outstanding as of March 31, 2000 at a weighted-average exercise price of $2.11 per share;</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5,794,472 shares of common stock available for future grant under our stock option plans, of which options to purchase 19,000 shares of common stock were granted in April 2000 at an exercise price of $3.00 per share;</w:t>
      </w:r>
    </w:p>
    <w:p>
      <w:pPr>
        <w:sectPr>
          <w:pgSz w:w="11900" w:h="16838" w:orient="portrait"/>
          <w:cols w:equalWidth="0" w:num="1">
            <w:col w:w="10219"/>
          </w:cols>
          <w:pgMar w:left="240" w:top="294" w:right="1440" w:bottom="123" w:gutter="0" w:footer="0" w:header="0"/>
        </w:sectPr>
      </w:pPr>
    </w:p>
    <w:bookmarkStart w:id="26" w:name="page27"/>
    <w:bookmarkEnd w:id="26"/>
    <w:p>
      <w:pPr>
        <w:ind w:left="188" w:right="3259" w:hanging="188"/>
        <w:spacing w:after="0" w:line="250" w:lineRule="auto"/>
        <w:tabs>
          <w:tab w:leader="none" w:pos="18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1,000,000 shares that we could issue under an employee stock purchase plan; and</w:t>
      </w:r>
    </w:p>
    <w:p>
      <w:pPr>
        <w:spacing w:after="0" w:line="351" w:lineRule="exact"/>
        <w:rPr>
          <w:sz w:val="20"/>
          <w:szCs w:val="20"/>
          <w:color w:val="auto"/>
        </w:rPr>
      </w:pPr>
    </w:p>
    <w:p>
      <w:pPr>
        <w:ind w:left="31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67"/>
          </w:cols>
          <w:pgMar w:left="692" w:top="141"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359" w:lineRule="exact"/>
        <w:rPr>
          <w:sz w:val="20"/>
          <w:szCs w:val="20"/>
          <w:color w:val="auto"/>
        </w:rPr>
      </w:pPr>
    </w:p>
    <w:p>
      <w:pPr>
        <w:ind w:left="640" w:right="3359" w:hanging="188"/>
        <w:spacing w:after="0" w:line="250" w:lineRule="auto"/>
        <w:tabs>
          <w:tab w:leader="none" w:pos="6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11,000 shares of common stock underlying a warrant outstanding as of March 31, 2000 at an exercise price of $5.00 per share.</w:t>
      </w:r>
    </w:p>
    <w:p>
      <w:pPr>
        <w:spacing w:after="0" w:line="200" w:lineRule="exact"/>
        <w:rPr>
          <w:sz w:val="20"/>
          <w:szCs w:val="20"/>
          <w:color w:val="auto"/>
        </w:rPr>
      </w:pPr>
    </w:p>
    <w:p>
      <w:pPr>
        <w:spacing w:after="0" w:line="327"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In addition, in April 2000, a warrant to purchase 200,000 shares of common stock was issued at an exercise price of $3.00 per share.</w:t>
      </w:r>
    </w:p>
    <w:p>
      <w:pPr>
        <w:spacing w:after="0" w:line="200" w:lineRule="exact"/>
        <w:rPr>
          <w:sz w:val="20"/>
          <w:szCs w:val="20"/>
          <w:color w:val="auto"/>
        </w:rPr>
      </w:pPr>
    </w:p>
    <w:p>
      <w:pPr>
        <w:spacing w:after="0" w:line="327"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Assuming the exercise of all options and warrants outstanding at March 31, 2000, the pro forma net tangible book value at March 31, 2000 after the offering would be $144.5 million, or $3.68 per share, which would represent an immediate increase in the pro forma net tangible book value of $1.90 per share to existing stockholders and an immediate dilution of $8.32 per share to new investors. See "Capitalization" and "Management -- Employee Benefit Plans."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359"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200" w:lineRule="exact"/>
        <w:rPr>
          <w:sz w:val="20"/>
          <w:szCs w:val="20"/>
          <w:color w:val="auto"/>
        </w:rPr>
      </w:pPr>
    </w:p>
    <w:p>
      <w:pPr>
        <w:spacing w:after="0" w:line="33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This section presents our historical consolidated financial data. You should read carefully the consolidated financial statements included in this prospectus, including the notes to the consolidated financial statements and "Management's Discussion and Analysis of Financial Condition and Results of Operations." The selected data in this section are not intended to replace the consolidated financial statements.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derived the consolidated statement of operations data for the years ended December 31, 1997, 1998 and 1999 and the consolidated balance sheet data as of December 31, 1998 and 1999 from the consolidated financial statements which have been audited by Ernst &amp; Young LLP and included elsewhere in this prospectus. The consolidated statements of operations data for the three months ended March 31, 1999 and 2000, and the consolidated balance sheet data as of March 31, 2000, have been derived from our unaudited consolidated financial statements included elsewhere in this prospectus. We derived the consolidated statement of operations data for the period from inception (November 9, 1995) through December 31, 1996 and the consolidated balance sheet data as of December 31, 1996 and 1997 from the audited consolidated financial statements which have been audited by Ernst &amp; Young LLP but which are not included elsewhere in this prospectus. In the opinion of management, the unaudited consolidated financial statements have been prepared on the same basis as the audited consolidated financial statements and contain all adjustments, consisting only of normal recurring adjustments, necessary for a fair presentation of our results of operations for these periods and financial condition at that date. Historical results are not necessarily indicative of future results. See notes to the consolidated financial statements for an explanation of the method used to determine the number of shares used in computing basic and diluted and pro forma basic and diluted net loss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42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PERIOD FROM</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ind w:left="44"/>
              <w:spacing w:after="0"/>
              <w:rPr>
                <w:sz w:val="20"/>
                <w:szCs w:val="20"/>
                <w:color w:val="auto"/>
              </w:rPr>
            </w:pPr>
            <w:r>
              <w:rPr>
                <w:rFonts w:ascii="Courier New" w:cs="Courier New" w:eastAsia="Courier New" w:hAnsi="Courier New"/>
                <w:sz w:val="15"/>
                <w:szCs w:val="15"/>
                <w:color w:val="auto"/>
              </w:rPr>
              <w:t>INCEPTION</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(NOVEMBER 9,</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9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1995) TO</w:t>
            </w:r>
          </w:p>
        </w:tc>
        <w:tc>
          <w:tcPr>
            <w:tcW w:w="400" w:type="dxa"/>
            <w:vAlign w:val="bottom"/>
          </w:tcPr>
          <w:p>
            <w:pPr>
              <w:spacing w:after="0"/>
              <w:rPr>
                <w:sz w:val="15"/>
                <w:szCs w:val="15"/>
                <w:color w:val="auto"/>
              </w:rPr>
            </w:pPr>
          </w:p>
        </w:tc>
        <w:tc>
          <w:tcPr>
            <w:tcW w:w="2840" w:type="dxa"/>
            <w:vAlign w:val="bottom"/>
            <w:gridSpan w:val="5"/>
          </w:tcPr>
          <w:p>
            <w:pPr>
              <w:jc w:val="right"/>
              <w:ind w:right="464"/>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5"/>
                <w:szCs w:val="15"/>
                <w:color w:val="auto"/>
              </w:rPr>
            </w:pPr>
          </w:p>
        </w:tc>
        <w:tc>
          <w:tcPr>
            <w:tcW w:w="1660" w:type="dxa"/>
            <w:vAlign w:val="bottom"/>
            <w:gridSpan w:val="3"/>
          </w:tcPr>
          <w:p>
            <w:pPr>
              <w:jc w:val="right"/>
              <w:ind w:right="48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DECEMBER 31,</w:t>
            </w:r>
          </w:p>
        </w:tc>
        <w:tc>
          <w:tcPr>
            <w:tcW w:w="324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jc w:val="center"/>
              <w:ind w:right="424"/>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5"/>
                <w:szCs w:val="15"/>
                <w:color w:val="auto"/>
              </w:rPr>
            </w:pP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4"/>
              </w:rPr>
              <w:t>1999</w:t>
            </w:r>
          </w:p>
        </w:tc>
        <w:tc>
          <w:tcPr>
            <w:tcW w:w="220" w:type="dxa"/>
            <w:vAlign w:val="bottom"/>
          </w:tcPr>
          <w:p>
            <w:pPr>
              <w:spacing w:after="0"/>
              <w:rPr>
                <w:sz w:val="15"/>
                <w:szCs w:val="15"/>
                <w:color w:val="auto"/>
              </w:rPr>
            </w:pPr>
          </w:p>
        </w:tc>
        <w:tc>
          <w:tcPr>
            <w:tcW w:w="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520" w:type="dxa"/>
            <w:vAlign w:val="bottom"/>
            <w:gridSpan w:val="7"/>
          </w:tcPr>
          <w:p>
            <w:pPr>
              <w:ind w:left="140"/>
              <w:spacing w:after="0"/>
              <w:rPr>
                <w:sz w:val="20"/>
                <w:szCs w:val="20"/>
                <w:color w:val="auto"/>
              </w:rPr>
            </w:pPr>
            <w:r>
              <w:rPr>
                <w:rFonts w:ascii="Courier New" w:cs="Courier New" w:eastAsia="Courier New" w:hAnsi="Courier New"/>
                <w:sz w:val="15"/>
                <w:szCs w:val="15"/>
                <w:color w:val="auto"/>
              </w:rPr>
              <w:t>(IN THOUSANDS, EXCEPT PER SHARE DATA)</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CONSOLIDATED STATEMENT OF</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OPERATIONS DATA:</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$ 10,192</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2,933</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9,273</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Research and development....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2,934</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14,282</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11,130</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3,963</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951</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4,434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7,565</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Technology license..........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6,000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costs and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3,885</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24,716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30,773</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20,468</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5,750</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54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(3,885)</w:t>
            </w:r>
          </w:p>
        </w:tc>
        <w:tc>
          <w:tcPr>
            <w:tcW w:w="40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(24,716)</w:t>
            </w:r>
          </w:p>
        </w:tc>
        <w:tc>
          <w:tcPr>
            <w:tcW w:w="1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(30,773)</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(19,549)</w:t>
            </w:r>
          </w:p>
        </w:tc>
        <w:tc>
          <w:tcPr>
            <w:tcW w:w="28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(5,750)</w:t>
            </w: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198</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1,114</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1,330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1,134</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336</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$(3,687)</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$(23,602)</w:t>
            </w:r>
          </w:p>
        </w:tc>
        <w:tc>
          <w:tcPr>
            <w:tcW w:w="10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$(29,443)</w:t>
            </w:r>
          </w:p>
        </w:tc>
        <w:tc>
          <w:tcPr>
            <w:tcW w:w="10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$(18,415)</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(5,561)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(5,032)</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 (2.86)</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(3.81)</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and diluted net loss per</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540" w:type="dxa"/>
            <w:vAlign w:val="bottom"/>
          </w:tcPr>
          <w:p>
            <w:pPr>
              <w:spacing w:after="0"/>
              <w:rPr>
                <w:sz w:val="15"/>
                <w:szCs w:val="15"/>
                <w:color w:val="auto"/>
              </w:rPr>
            </w:pPr>
          </w:p>
        </w:tc>
        <w:tc>
          <w:tcPr>
            <w:tcW w:w="8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1,287</w:t>
            </w:r>
          </w:p>
        </w:tc>
        <w:tc>
          <w:tcPr>
            <w:tcW w:w="40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3,619</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w:t>
            </w:r>
          </w:p>
        </w:tc>
        <w:tc>
          <w:tcPr>
            <w:tcW w:w="2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4,369</w:t>
            </w: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w:t>
            </w:r>
          </w:p>
        </w:tc>
      </w:tr>
      <w:tr>
        <w:trPr>
          <w:trHeight w:val="176"/>
        </w:trPr>
        <w:tc>
          <w:tcPr>
            <w:tcW w:w="2840" w:type="dxa"/>
            <w:vAlign w:val="bottom"/>
          </w:tcPr>
          <w:p>
            <w:pPr>
              <w:spacing w:after="0"/>
              <w:rPr>
                <w:sz w:val="15"/>
                <w:szCs w:val="15"/>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Pro forma basic and diluted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net loss per share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(0.79)</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Shares used in computing pro</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forma basic and diluted net</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loss per share</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23,331</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25,301</w:t>
            </w:r>
          </w:p>
        </w:tc>
      </w:tr>
      <w:tr>
        <w:trPr>
          <w:trHeight w:val="176"/>
        </w:trPr>
        <w:tc>
          <w:tcPr>
            <w:tcW w:w="2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94" w:right="1440" w:bottom="0" w:gutter="0" w:footer="0" w:header="0"/>
        </w:sectPr>
      </w:pPr>
    </w:p>
    <w:p>
      <w:pPr>
        <w:spacing w:after="0" w:line="3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4" w:right="1440" w:bottom="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171"/>
        </w:trPr>
        <w:tc>
          <w:tcPr>
            <w:tcW w:w="4200" w:type="dxa"/>
            <w:vAlign w:val="bottom"/>
          </w:tcPr>
          <w:p>
            <w:pPr>
              <w:ind w:left="260"/>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81"/>
        </w:trPr>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AS OF DECEMBER 31,</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AS OF</w:t>
            </w:r>
          </w:p>
        </w:tc>
      </w:tr>
      <w:tr>
        <w:trPr>
          <w:trHeight w:val="176"/>
        </w:trPr>
        <w:tc>
          <w:tcPr>
            <w:tcW w:w="42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92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200" w:type="dxa"/>
            <w:vAlign w:val="bottom"/>
          </w:tcPr>
          <w:p>
            <w:pPr>
              <w:spacing w:after="0"/>
              <w:rPr>
                <w:sz w:val="15"/>
                <w:szCs w:val="15"/>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Cash, cash equivalents and short-term</w:t>
            </w: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$ 1,494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$ 32,674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$ 23,220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26,260</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$ 54,631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1,045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25,424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19,817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22,023</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51,726</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2,289</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35,674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28,167</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34,455</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65,081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Notes payable, less current portion..........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2,438</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2,471</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(1,831)</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(1,128)</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(3,687)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(27,289)</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(56,732)</w:t>
            </w:r>
          </w:p>
        </w:tc>
        <w:tc>
          <w:tcPr>
            <w:tcW w:w="18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(75,147)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1,770</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27,331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20,596</w:t>
            </w:r>
          </w:p>
        </w:tc>
        <w:tc>
          <w:tcPr>
            <w:tcW w:w="1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22,211</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52,334</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Our consolidated statement of operations data for the period from inception (November 9, 1995) to December 31, 1995 and the consolidated balance sheet as of December 31, 1995 are not presented separately as our operations during that period were not material.</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AND RESULTS OF OPERATIONS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management's discussion and analysis of financial condition and results of operations contains forward-looking statements which involve risks and uncertainties. Our actual results could differ materially from those anticipated in these forward-looking statements as a result of certain factors, including those set forth under "Risk Factors" and elsewhere in this prospectus. We assume no obligation to update forward-looking statements or the risk factors. The following discussion should be read in conjunction with our consolidated financial statements and related notes included elsewhere in this prospectus.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Since our inception in November 1995, we have engaged in the development and commercialization of products that are designed to provide the flexibility of open surgery while operating through ports. We believe that our technology enables surgeons to perform better surgery while giving patients the benefits of MIS surgery, including decreased trauma and postoperative pain, reduced surgical complications, shorter hospital stays and lower total treatment costs. In 1999, we introduced our da Vinci Surgical System and EndoWrist instruments.</w:t>
      </w:r>
    </w:p>
    <w:p>
      <w:pPr>
        <w:spacing w:after="0" w:line="35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We incurred net losses of $23.6 million in 1997, $29.4 million in 1998, $18.4 million in 1999 and $5.0 million for the three months ended March 31, 2000. As of March 31, 2000, we had an accumulated deficit of $80.2 million. We expect to expend substantial financial resources to expand marketing, direct sales, training and customer support needed to support higher sales. In addition, we anticipate our research and development expenses to increase as we continue to develop new products and conduct clinical trials. If we receive FDA approval, we will need to expend significant capital resources to expand our manufacturing capabilities. This investment is likely to result in low gross margins. Furthermore, we may encounter difficulties in scaling up production. Problems may include low production yields, component supply shortages, shortages of qualified personnel and failure to comply with federal, state and international regulations.</w:t>
      </w:r>
    </w:p>
    <w:p>
      <w:pPr>
        <w:spacing w:after="0" w:line="200" w:lineRule="exact"/>
        <w:rPr>
          <w:sz w:val="20"/>
          <w:szCs w:val="20"/>
          <w:color w:val="auto"/>
        </w:rPr>
      </w:pPr>
    </w:p>
    <w:p>
      <w:pPr>
        <w:spacing w:after="0" w:line="33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obtained permission from the European Union to affix the CE Mark to the da Vinci Surgical System and EndoWrist instruments for general surgical and cardiac surgical use. In the second quarter of 1999, we recognized revenue for the first time for the sale of our products. Sales to markets outside of the United States represent 91% of our 1999 sales and 56% of our first quarter 2000 sales. In November 1999, we filed a PMA application with the FDA for laparoscopic use of the da Vinci Surgical System and our EndoWrist instruments, and this application is currently under FDA review. Substantial revenue growth in the United States is dependent on FDA approval of our products.</w:t>
      </w:r>
    </w:p>
    <w:p>
      <w:pPr>
        <w:spacing w:after="0" w:line="3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Sales are generated through our direct sales force and through our distributors. Revenue is generated from sales of our da Vinci Surgical System and related accessories, our EndoWrist instruments and ongoing service provided to our customers. System revenue is recognized upon installation for direct sales and upon shipment for sales to our distributors. If substantial contractual obligations exist after system installation, revenue is recognized after our obligations are fulfilled. We recognize revenue for our EndoWrist instruments and accessories upon shipment.</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1999 and in the first quarter of 2000, the majority of our revenues came from the sales of da Vinci Surgical Systems, which are high revenue dollar items. A smaller percentage of our 1999 and first quarter of 2000 revenue came from sales of EndoWrist instruments and accessories, which are lower revenue dollar items. Although we expect the majority of our revenues to continue to come from the sale of da Vinci Surgical Systems over the next few years, we expect the percentage of revenue from our EndoWrist instruments to increase. Due to the high dollar revenue per system sold,</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4" w:right="1440" w:bottom="1440"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29</w:t>
      </w:r>
    </w:p>
    <w:p>
      <w:pPr>
        <w:spacing w:after="0" w:line="359"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small variations in system unit sales may cause revenue to vary significantly from quarter to quarter. During the useful life of each installed da Vinci Surgical System, we expect to generate recurring revenue through sales of our EndoWrist instruments and accessories. For the year ended December 31, 1999, two customers, AB Medica SRL and Marubeni America Corporation, each accounted for 16% of our total sales. For the three months ended March 31, 2000, four customers, Henrico Doctor's Hospital, AB Medica SRL, Marubeni America Corporation and Pitt County Memorial Hospital, accounted for 30%, 28%, 22% and 14% of total sales, respectively.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31, 1999 and 2000</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Sales. Sales were recorded for the first time in the second quarter of 1999. For the three months ended March 31, 2000, we recorded $2.9 million in revenue for shipments of the da Vinci Surgical System, EndoWrist instruments and accessories.</w:t>
      </w:r>
    </w:p>
    <w:p>
      <w:pPr>
        <w:spacing w:after="0" w:line="200" w:lineRule="exact"/>
        <w:rPr>
          <w:sz w:val="20"/>
          <w:szCs w:val="20"/>
          <w:color w:val="auto"/>
        </w:rPr>
      </w:pPr>
    </w:p>
    <w:p>
      <w:pPr>
        <w:spacing w:after="0" w:line="32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Cost of Sales. Cost of sales includes material, manufacturing labor, overhead and warranty costs. No cost of sales exists for the three months ended March 31, 1999. We reported cost of sales of $2.5 million, or 86% of sales, for the three months ended March 31, 2000.</w:t>
      </w:r>
    </w:p>
    <w:p>
      <w:pPr>
        <w:spacing w:after="0" w:line="200" w:lineRule="exact"/>
        <w:rPr>
          <w:sz w:val="20"/>
          <w:szCs w:val="20"/>
          <w:color w:val="auto"/>
        </w:rPr>
      </w:pPr>
    </w:p>
    <w:p>
      <w:pPr>
        <w:spacing w:after="0" w:line="328"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Gross Profit. No gross profit exists for the three months ended March 31, 1999. For the three months ended March 31, 2000, gross profit was $401,000, or 14% of sales.</w:t>
      </w:r>
    </w:p>
    <w:p>
      <w:pPr>
        <w:spacing w:after="0" w:line="200" w:lineRule="exact"/>
        <w:rPr>
          <w:sz w:val="20"/>
          <w:szCs w:val="20"/>
          <w:color w:val="auto"/>
        </w:rPr>
      </w:pPr>
    </w:p>
    <w:p>
      <w:pPr>
        <w:spacing w:after="0" w:line="328"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Research and Development Expenses. Research and development expenses include costs associated with the design, development, testing and enhancement of our products, purchases of laboratory supplies and clinical trials. We expense research and development costs as they are incurred. Research and development expenses decreased from $4.0 million during the three months ended March 31, 1999 to $2.6 million during the comparable period in 2000. The decrease is primarily attributable to a change in our treatment of manufacturing-related costs. Starting in the second quarter of 1999, we transitioned from recording manufacturing-related costs as research and development expense to cost of sales. We expect research and development spending will increase in the future, in absolute dollars, as we expand our product development efforts and seek further regulatory approvals.</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include personnel costs for sales, marketing and administrative personnel, tradeshow expenses, legal expenses, regulatory fees and general corporate expenses. Selling, general and administrative expenses increased from $1.8 million during the three months ended March 31, 1999 to $3.1 million during the comparable period in 2000. The increase is primarily attributable to $1.0 million in increased personnel costs and $291,000 in marketing expenses. Selling, general and administrative expenses are expected to increase in the future to support expanding business activities and the additional administrative costs related to being a public company.</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(Expense), Net. Net interest income increased from $189,000 during the three months ended March 31, 1999 to $336,000 during the comparable period in 2000. The increase resulted from increased interest income earned on higher average cash balances, which was driven by the exercise of warrants to purchase preferred stock in March 2000 yielding approximately $35.4 million in gross proceeds.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1997, 1998 and 1999</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Sales. Sales were recorded for the first time in 1999. For the year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we recorded $10.2 million in revenue for shipments of the 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Vinci Surgical System, EndoWrist instruments and accessories.</w:t>
      </w:r>
    </w:p>
    <w:p>
      <w:pPr>
        <w:sectPr>
          <w:pgSz w:w="11900" w:h="16838" w:orient="portrait"/>
          <w:cols w:equalWidth="0" w:num="1">
            <w:col w:w="10219"/>
          </w:cols>
          <w:pgMar w:left="240" w:top="294" w:right="1440" w:bottom="834" w:gutter="0" w:footer="0" w:header="0"/>
        </w:sectPr>
      </w:pP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94" w:right="1440" w:bottom="834" w:gutter="0" w:footer="0" w:header="0"/>
          <w:type w:val="continuous"/>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30</w:t>
      </w:r>
    </w:p>
    <w:p>
      <w:pPr>
        <w:spacing w:after="0" w:line="359"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Cost of Sales. No cost of sales exists for years 1997 and 1998. We reported cost of sales of $9.3 million, or 91% of sales, for the year ended December 31, 1999.</w:t>
      </w:r>
    </w:p>
    <w:p>
      <w:pPr>
        <w:spacing w:after="0" w:line="352"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Gross Profit. No gross profit exists for years 1997 and 1998. For the year ended December 31, 1999, gross profit was $919,000, or 9% of sales.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Research and Development Expenses. Research and development expenses increased from $14.3 million in 1997 to $23.2 million in 1998 and decreased to $11.1 million in 1999. The increase in research and development expenses from 1997 to 1998 was primarily attributable to increases of $2.6 million in prototype costs associated with development of the da Vinci Surgical System, $2.4 million in clinical trial costs, and $3.1 million related to increased personnel costs. The decrease in research and development expenses from 1998 to 1999 is primarily attributable to reductions of $5.4 million in prototype costs, $2.3 million in clinical trial costs, and $619,000 in deferred compensation expense. In addition, we transitioned from recording manufacturing-related costs as research and development in 1998 to cost of sales in 1999. This resulted in a decrease of $3.6 million in research and development costs from 1998 to 1999.</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from $4.4 million in 1997 to $7.6 million in 1998 and to $9.3 million in 1999. The increase from 1997 to 1998 is primarily attributable to $1.4 million in increased personnel costs and $468,000 in marketing expenses. The increase from 1998 to 1999 is primarily due to increased personnel costs.</w:t>
      </w:r>
    </w:p>
    <w:p>
      <w:pPr>
        <w:spacing w:after="0" w:line="200" w:lineRule="exact"/>
        <w:rPr>
          <w:sz w:val="20"/>
          <w:szCs w:val="20"/>
          <w:color w:val="auto"/>
        </w:rPr>
      </w:pPr>
    </w:p>
    <w:p>
      <w:pPr>
        <w:spacing w:after="0" w:line="328"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Technology License. Technology license expense of $6.0 million was recognized in 1997 in conjunction with technology obtained from IBM. The arrangement with IBM specifically limits our application of the technology to products used in surgery. Since none of our products had received regulatory approval, and we had no alternative future use for the technology, this amount was expensed when incurred.</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Interest Income (Expense), Net. Net interest income remained relatively constant at $1.1 million in 1997, $1.3 million in 1998 and $1.1 million in 1999. The increase from 1997 to 1998 resulted from increased interest income earned on higher average cash balances. The decrease from 1998 to 1999 resulted from lower interest income earned on lower average cash balances, and higher interest expense on additional debt.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to March 31, 2000</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April 2000, we entered into an agreement with Heartport, Inc. to exclusively license a number of Heartport's patents in exchange for cash of $3.0 million and a warrant to purchase 200,000 shares of common stock at an exercise price of $3.00 per share. We anticipate that a charge of approximately $5.0 million will be recorded as a result of this agreement, which will be amortized over the estimated useful life of the patents.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COMPENSATION</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recorded deferred compensation as the difference between the exercise price of options granted and the fair value of its common stock at the time of grant for financial reporting purposes. Deferred compensation is amortized to research and development expense, and selling, general and administrative expense. Deferred compensation recorded through March 31, 2000 was $7.2 million with accumulated amortization of $4.1 million. The remaining $3.1 million will be amortized over the remaining vesting periods of the options, generally four years from the date of grant. We anticipate that additional deferred compensation totaling $1.5 million will be recorded for options granted in April and May 2000. These amounts are being amortized over the respective vesting periods of the individual stock options using a graded-vesting method. We expect to record amortization expense for deferred compensation as follows: $2.5 million during 2000, $1.3 million during 2001, $600,000 during 2002 and $200,000 during 2003. The amount of deferred compensation expense to be recorded in</w:t>
      </w:r>
    </w:p>
    <w:p>
      <w:pPr>
        <w:sectPr>
          <w:pgSz w:w="11900" w:h="16838" w:orient="portrait"/>
          <w:cols w:equalWidth="0" w:num="1">
            <w:col w:w="10219"/>
          </w:cols>
          <w:pgMar w:left="240" w:top="294" w:right="1440" w:bottom="1010" w:gutter="0" w:footer="0" w:header="0"/>
        </w:sectPr>
      </w:pP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4" w:right="1440" w:bottom="1010" w:gutter="0" w:footer="0" w:header="0"/>
          <w:type w:val="continuous"/>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31</w:t>
      </w:r>
    </w:p>
    <w:p>
      <w:pPr>
        <w:spacing w:after="0" w:line="182"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future periods may decrease if unvested options for which deferred compensation has been recorded are subsequently canceled.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AND RESEARCH TAX CREDIT CARRY FORWARDS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December 31, 1999, net operating loss carryforwards were approximately $44.8 million and $13.8 million for federal and state income tax purposes, respectively. Federal and state research tax credit carryforwards were approximately $2.0 million. The state and federal net operating loss carryforwards will expire at various dates from 2003 through 2019 if not utilized. The utilization of such carryforwards may be subject to a substantial annual limitation due to the "change in ownership" provisions of the Internal Revenue Code of 1986 and similar state provisions. The annual limitation may result in the expiration of net operating losses before utilization.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or SFAS 133 which, as amended, is required to be adopted in years beginning after June 15, 2000. Because we do not use derivatives, management does not anticipate the adoption of SFAS 133 will have a significant effect on the results of operations, financial position or cash flows of Intuitive Surgical.</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or SAB 101. SAB 101 summarizes some areas of the staff's views in applying generally accepted accounting principles to revenue recognition in financial statements. We believe that our current revenue recognition principles comply with SAB 101.</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Since our inception we have financed our operations primarily through sales of our preferred stock, yielding net proceeds of approximately $127.3 million, and equipment financing arrangements yielding approximately $6.5 million. The equipment arrangements provide financing at specified interest rates for periods of up to 48 months, by which time the principal is repaid to the lessors. As collateral for the equipment financing, we have granted the lessors a security interest in equipment specified under each arrangement. As of March 31, 2000, we had cash, cash equivalents and short-term investments of $54.6 million and working capital of $51.7 million.</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Net cash used in operating activities was approximately $14.9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$31.1 million, $15.9 million and $5.8 million for the years ended December 31,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1998, 1999 and for the three months ended March 31, 2000, respectively.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such periods, net cash used in operating activities resulted primarily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losses.</w:t>
      </w:r>
    </w:p>
    <w:p>
      <w:pPr>
        <w:spacing w:after="0" w:line="200" w:lineRule="exact"/>
        <w:rPr>
          <w:sz w:val="20"/>
          <w:szCs w:val="20"/>
          <w:color w:val="auto"/>
        </w:rPr>
      </w:pPr>
    </w:p>
    <w:p>
      <w:pPr>
        <w:spacing w:after="0" w:line="33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Net cash used in investing activities was approximately $18.4 million and $10.3 million for the years ended December 31, 1997 and 1999, respectively. Net cash provided by investing activities was approximately $954,000 and $5.8 million for the year ended December 31, 1998 and for the three months ended March 31, 2000, respectively. Investing activities primarily consist of capital expenditures and the purchase, sale and maturity of short-term investments.</w:t>
      </w:r>
    </w:p>
    <w:p>
      <w:pPr>
        <w:spacing w:after="0" w:line="200" w:lineRule="exact"/>
        <w:rPr>
          <w:sz w:val="20"/>
          <w:szCs w:val="20"/>
          <w:color w:val="auto"/>
        </w:rPr>
      </w:pPr>
    </w:p>
    <w:p>
      <w:pPr>
        <w:spacing w:after="0" w:line="328" w:lineRule="exact"/>
        <w:rPr>
          <w:sz w:val="20"/>
          <w:szCs w:val="20"/>
          <w:color w:val="auto"/>
        </w:rPr>
      </w:pPr>
    </w:p>
    <w:p>
      <w:pPr>
        <w:jc w:val="both"/>
        <w:ind w:right="2979" w:firstLine="458"/>
        <w:spacing w:after="0" w:line="248" w:lineRule="auto"/>
        <w:rPr>
          <w:sz w:val="20"/>
          <w:szCs w:val="20"/>
          <w:color w:val="auto"/>
        </w:rPr>
      </w:pPr>
      <w:r>
        <w:rPr>
          <w:rFonts w:ascii="Courier New" w:cs="Courier New" w:eastAsia="Courier New" w:hAnsi="Courier New"/>
          <w:sz w:val="15"/>
          <w:szCs w:val="15"/>
          <w:color w:val="auto"/>
        </w:rPr>
        <w:t>Net cash provided by financing activities was approximately $48.9 million, $23.3 million, $20.2 million and $34.9 million for the years ended December 31, 1997, 1998, 1999 and for the three months ended March 31, 2000, respectively.</w:t>
      </w:r>
    </w:p>
    <w:p>
      <w:pPr>
        <w:spacing w:after="0" w:line="2" w:lineRule="exact"/>
        <w:rPr>
          <w:sz w:val="20"/>
          <w:szCs w:val="20"/>
          <w:color w:val="auto"/>
        </w:rPr>
      </w:pPr>
    </w:p>
    <w:p>
      <w:pPr>
        <w:jc w:val="both"/>
        <w:ind w:right="2979"/>
        <w:spacing w:after="0" w:line="250" w:lineRule="auto"/>
        <w:rPr>
          <w:sz w:val="20"/>
          <w:szCs w:val="20"/>
          <w:color w:val="auto"/>
        </w:rPr>
      </w:pPr>
      <w:r>
        <w:rPr>
          <w:rFonts w:ascii="Courier New" w:cs="Courier New" w:eastAsia="Courier New" w:hAnsi="Courier New"/>
          <w:sz w:val="15"/>
          <w:szCs w:val="15"/>
          <w:color w:val="auto"/>
        </w:rPr>
        <w:t>The net cash provided by financing activities was primarily attributable to the sale of preferred stock and proceeds from long-term borrowings.</w:t>
      </w:r>
    </w:p>
    <w:p>
      <w:pPr>
        <w:spacing w:after="0" w:line="200" w:lineRule="exact"/>
        <w:rPr>
          <w:sz w:val="20"/>
          <w:szCs w:val="20"/>
          <w:color w:val="auto"/>
        </w:rPr>
      </w:pPr>
    </w:p>
    <w:p>
      <w:pPr>
        <w:spacing w:after="0" w:line="327"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June 1999, October 1999 and March 2000, we entered into equipment financing agreements with Heller Financial to finance equipment totaling $1.5 million, $0.5 million and $0.5 million, respectively. The term of these leases is 36 months. The interest rate for these financing agreements</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4" w:right="1440"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32</w:t>
      </w:r>
    </w:p>
    <w:p>
      <w:pPr>
        <w:spacing w:after="0" w:line="359"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is approximately 10%. The June 1999, October 1999 and March 2000 financing agreements provide for monthly payments of approximately $48,000, $16,000 and $16,000, respectively. We have granted Heller Financial a security interest in all equipment covered under these agreements.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we have four prior equipment financing agreements with GE Capital with an outstanding balance of $2.4 million and $2.2 million at December 31, 1999 and March 31, 2000, respectively. We are currently repaying these amounts at interest rates ranging from approximately 9.0% to 13.8%. We have granted to GE Capital a security interest in all equipment covered under these agreements. In connection with these financing agreements, we issued a warrant to purchase 11,000 shares of common stock at an exercise price of $5.00. The warrant, which is currently exercisable, expires in April 2003.</w:t>
      </w:r>
    </w:p>
    <w:p>
      <w:pPr>
        <w:spacing w:after="0" w:line="200" w:lineRule="exact"/>
        <w:rPr>
          <w:sz w:val="20"/>
          <w:szCs w:val="20"/>
          <w:color w:val="auto"/>
        </w:rPr>
      </w:pPr>
    </w:p>
    <w:p>
      <w:pPr>
        <w:spacing w:after="0" w:line="328"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As of March 31, 2000, we had capital equipment of $7.1 million less accumulated depreciation of $4.0 million to support our clinical, research, development, manufacturing and administrative activities. For the next twelve months, we expect capital expenditures to increase modestly as we acquire equipment and expand our facilities. Among these planned expenditures are tooling costs for production and tenant improvements.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capital requirements depend on numerous factors, including market acceptance of our products, the resources we devote to developing and supporting our products and other factors. We expect to devote substantial capital resources to continue our research and development efforts, to expand our support and product development activities and for other general corporate activities. We believe that our current cash balances, together with the net proceeds of this offering and revenue to be derived from the sale of our products, will be sufficient to fund our operations at least through 2001. During or after this period, if cash generated by operations is insufficient to satisfy our liquidity requirements, we may need to sell additional equity or debt securities or obtain additional credit arrangements. Additional financing may not be available on terms acceptable to us or at all. The sale of additional equity or convertible debt securities may result in additional dilution to our stockholders.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primary objective of our investment activities is to preserve principal while at the same time maximizing the income we receive from our investments without significantly increasing risk. Some of the securities that we invest in may have market risk. This means that a change in prevailing interest rates may cause the principal amount of the investment to fluctuate. For example, if we hold a security that was issued with a fixed interest rate at the then-prevailing rate and the prevailing interest rate later rises, the principal amount of our investment will probably decline. To minimize this risk in the future, we intend to maintain our portfolio of cash equivalents and short-term investments in a variety of securities, including commercial paper, money market funds and government and non-government debt securities. The average duration of all of our investments as of December 31, 1999 and March 31, 2000 was less than one year. Due to the short term nature of these investments, we believe we have no material exposure to interest rate risk arising from our investments. Therefore, no quantitative tabular disclosure is required.</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33</w:t>
      </w:r>
    </w:p>
    <w:p>
      <w:pPr>
        <w:spacing w:after="0" w:line="18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BUSINESS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design and manufacture the da Vinci Surgical System, an advanced surgical system that we believe represents a new generation of surgery -- the third generation. We believe that this new generation of surgery, which we call Intuitive surgery, is a revolutionary advance similar in scope to the previous two generations of surgery -- open surgery and minimally invasive surgery, or MIS. Our da Vinci System consists of a surgeon's console, a patient-side cart, a high performance vision system and our proprietary instruments. By placing computer-enhanced technology between the surgeon and patient, we believe that our system enables surgeons to perform better surgery in a manner never before experienced. The da Vinci Surgical System seamlessly translates the surgeon's natural hand movements on instrument controls at a console into corresponding micro-movements of instruments positioned inside the patient through small puncture incisions, or ports. Our da Vinci Surgical System is the only commercially available technology that can provide the surgeon with the intuitive control, range of motion, fine tissue manipulation capability and 3-D visualization characteristic of open surgery, while simultaneously allowing the surgeon to work through the small ports of minimally invasive surgery.</w:t>
      </w:r>
    </w:p>
    <w:p>
      <w:pPr>
        <w:spacing w:after="0" w:line="363"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March 1997, surgeons using an early prototype of our technology successfully performed Intuitive surgery on humans. Beginning in May 1998, surgeons using our technology successfully performed what we believe were the world's first computer-enhanced closed chest heart surgeries, including mitral valve repair, dissection of an internal mammary artery and grafting of a coronary artery. Since then, surgeons using our technology have successfully completed hundreds of general surgery procedures of various types. In early 2000, surgeons using our technology successfully completed what we believe was the world's first beating heart bypass procedure using only small ports. To date, we have sold 16 of our da Vinci Surgical Systems. This year, we expect the FDA to approve use of the da Vinci Surgical System in laparoscopic surgical procedures, which we believe would make us the only company to have received FDA approval for a third generation surgical product. We cannot assure investors as to when, or if, we will receive this approval. Laparoscopic surgery is surgery in the abdominal and pelvic areas of the body using an endoscope.</w:t>
      </w:r>
    </w:p>
    <w:p>
      <w:pPr>
        <w:spacing w:after="0" w:line="36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The first generation of surgery, open surgery, remains the predominant form of surgery and is still used in almost every area of the body. However, the large incisions required for open surgery create significant trauma to the patient, resulting in long hospitalization and recovery times, high hospitalization costs, as well as significant pain and suffering. Over the past several decades, the second generation of surgery, MIS surgery, has reduced trauma to the patient by allowing some surgeries to be performed through small ports rather than large incisions, resulting in shorter recovery times, fewer complications and reduced hospitalization costs. MIS surgery has been widely adopted for certain surgical procedures, but it has not been widely adopted for complex procedures. We believe surgeons have been slow to adopt MIS surgery for complex procedures because they generally find that fine tissue manipulations, such as dissecting and suturing, using these techniques are more difficult to learn and perform, and are less precise, than in open surgery.</w:t>
      </w:r>
    </w:p>
    <w:p>
      <w:pPr>
        <w:spacing w:after="0" w:line="18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Intuitive surgery overcomes many of the shortcomings of both open surgery and MIS surgery. Surgeons operate while seated comfortably at a console viewing a bright and sharp 3-D image of the surgical field. This immersive visualization results in surgeons no longer feeling disconnected from the surgical field and the instruments, as they do when using an endoscope in MIS surgery. While seated at the console, the surgeon manipulates instrument controls in a natural manner, just as he or she has been trained to do in open surgery. Our technology is designed to provide surgeons with a range of motion in the surgical field analogous to the motions of a human wrist, while filtering out the tremor inherent in every surgeon's hand. In designing our products, we have focused on making our technology as simple as possible to use. In our experience, based on hundreds of procedures, surgeons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9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34</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can learn to manipulate our instruments with only a short amount of training and can learn to perform Intuitive surgery with less training than is required for MIS surgery.</w:t>
      </w:r>
    </w:p>
    <w:p>
      <w:pPr>
        <w:spacing w:after="0" w:line="17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products are designed to make a broad range of open surgical and MIS procedures suitable for Intuitive surgery. The da Vinci Surgical System is designed to allow surgeons to perform better surgery while providing patients with the benefits of MIS surgery. We believe that these advantages will enable us to drive a fundamental change in surgery.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35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there are three generations of surgical techniques: (1) open surgery, which began its modern era in the 19th century, (2) MIS surgery, which has developed over the past several decades and (3) Intuitive surgery, which we have developed. Each generation of surgery has been enabled by the development of an important technology or set of related technologies.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Generation: Open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Modern open surgical technique developed in the second half of the 19th century because of the combination of two medical breakthroughs: anesthesia and sterile technique. Using open surgical techniques, a surgeon generally creates an incision large enough to allow a direct view of the operating field and the insertion of at least two human hands to manipulate the patient's tissues. Many different types of hand-held instruments such as the scalpel, forceps, retractor and clamp have been developed to enable the surgeon to manipulate tissue precisely in almost every area of the body, and to accomplish complicated movements such as suturing.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large incisions generally used in open surgery create very significant trauma to the patient, resulting in long hospitalization and recovery times, high hospitalization costs, as well as significant pain and suffering. In most cases, repairing damaged tissue is much less traumatic than creating the large incisions necessary to expose that tissue. However, because the human hand has an extremely wide range of motion and can grip open surgical instruments near their tips to allow very precise and natural tissue manipulations, open surgical technique is generally considered the most precise and the easiest technique for the surgeon to perform. Despite trauma and other drawbacks, open surgery remains the predominant form of surgical technique.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Second Generation: Minimally Invasive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Minimally invasive surgical techniques have evolved over the past few decades, beginning with the development of the endoscope. The objective of MIS surgery is to substantially reduce trauma to the patient by replacing the large six- to twelve-inch incision typically required for open surgery with three or more small puncture incisions, or ports. These ports are each approximately ten millimeters, or less than one-half inch, in diameter. The ports are created in the abdominal wall, chest wall, or other areas of the body in locations designed to provide access to the organs on which the surgeon intends to operate. MIS surgery generally results in shorter hospitalization and recovery times, reduced hospitalization costs and substantially less pain and suffering.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During an MIS procedure, the surgeon inserts an endoscope through a port. An endoscope makes use of fiber optics or fine glass tubes that allow the surgeon to view a surgical field through a small incision. The endoscope transmits an image to a television monitor so the surgeon can see the surgical site and indirectly observe the operation. The surgeon inserts a variety of long, hand-held instruments through the ports and manipulates the handles of these instruments outside the patient's body to perform the operation inside the patient's body. The instruments typically have tips similar to the corresponding instrument tips used in open surgery, such as forceps or scissors. These tips are connected to 15- to 18-inch or 35- to 45-centimeter long tubes, which are connected to the handles.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35</w:t>
      </w:r>
    </w:p>
    <w:p>
      <w:pPr>
        <w:spacing w:after="0" w:line="182"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Existing Limitations of Minimally Invasive Surgery. We believe that surgeons generally find MIS surgical techniques more difficult to learn and perform than open surgery for the following reasons:</w:t>
      </w:r>
    </w:p>
    <w:p>
      <w:pPr>
        <w:spacing w:after="0" w:line="176" w:lineRule="exact"/>
        <w:rPr>
          <w:sz w:val="20"/>
          <w:szCs w:val="20"/>
          <w:color w:val="auto"/>
        </w:rPr>
      </w:pPr>
    </w:p>
    <w:p>
      <w:pPr>
        <w:ind w:left="640" w:right="289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"Backward" Instrument Movements. Existing MIS instruments are essentially long rigid levers that rotate around a fulcrum, or pivot point, located at the port created in the body wall. As a result, the instrument tip moves in the opposite direction from the surgeon's hand. For example, to move the tip left, surgeons move the instrument handle to the right; to move the tip up, surgeons move the instrument handle down. Surgeons must relearn their hand-eye coordination to translate their hand movements in this "backward" environment into the required instrument movements.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Motions. Existing MIS instruments provide surgeons less flexibility, dexterity and range of motion than their own hands provide in open surgical procedures. For example, MIS instruments in widespread use today do not have joints near their tips to replicate surgeons' hand and wrist movements used in open surgery to perform manipulations such as reaching behind tissue, suturing and fine dissection.</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Magnified Tremor and Exaggerated Instrument Movements. In open surgery, instruments are held near their tips, allowing fine movements of surgeons' hands to be directly translated into fine movements of the instruments. In MIS surgery, the length of MIS instruments magnifies surgeons' hand movements. As a result, the tremor inherent in a surgeon's hands is magnified, and the exaggerated motor movements caused by MIS instruments make fine tissue manipulation more difficult for the surgeon. The difficulty of these movements is analogous to the lack of precision one would experience in writing while holding the eraser end of a pencil.</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Visualization. Since the video image from the endoscope is usually displayed on a video monitor, surgeons typically must look up and away from their hands, the patient and the instruments to see the surgical field on the monitor. This can give the MIS surgeon a feeling of being disconnected from the surgical field and the instruments. In addition, most endoscopes currently available give the surgeon only a two-dimensional image. Although three-dimensional endoscopes exist, they typically have diminished sharpness and lower brightness than two-dimensional endoscopes, making fine detail more difficult for the surgeon to see.</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 to Learn. The combination of the inherent difficulties mentioned above makes conventional MIS surgical techniques difficult to learn. Although most surgeons are now trained in their residency programs in basic laparoscopic skills, a significant amount of advanced training is required for surgeons to become proficient in most MIS procedures. The need for extensive training revolves around the difficulty of learning certain laparoscopic skills such as suturing and precise dissection. Without the assistance of computer-enhanced techniques, these types of advanced laparoscopic skills take months of practice to learn and perfect.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Slowing MIS Procedure Conversion Rates. Despite the limitations of existing MIS techniques, a number of procedures are routinely performed using laparoscopic procedures. For example, laparoscopic cholecystectomy, removal of the gall bladder through ports, is learned by most surgeons after a moderate amount of training, in part because of the anatomical location of the gallbladder and the relatively gross tissue manipulations required. Consequently, laparoscopic cholecystectomy grew from a newly-introduced procedure to the "standard of care" in the United States over approximately three years, beginning in the late 1980s. In 1997, approximately 85% of cholecystectomies in the United States were performed using MIS techniques.</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that the adoption rate of laparoscopic cholecystectomy has not been replicated for most subsequently introduced MIS procedures because such procedures have been more difficult to</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4"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36</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learn and perform. In addition, as a result of these difficulties, many surgical procedures commonly performed using open surgery have not been adapted to MIS surgical techniques.</w:t>
      </w:r>
    </w:p>
    <w:p>
      <w:pPr>
        <w:spacing w:after="0" w:line="176" w:lineRule="exact"/>
        <w:rPr>
          <w:sz w:val="20"/>
          <w:szCs w:val="20"/>
          <w:color w:val="auto"/>
        </w:rPr>
      </w:pPr>
    </w:p>
    <w:p>
      <w:pPr>
        <w:ind w:right="2979" w:firstLine="458"/>
        <w:spacing w:after="0" w:line="250" w:lineRule="auto"/>
        <w:rPr>
          <w:sz w:val="20"/>
          <w:szCs w:val="20"/>
          <w:color w:val="auto"/>
        </w:rPr>
      </w:pPr>
      <w:r>
        <w:rPr>
          <w:rFonts w:ascii="Courier New" w:cs="Courier New" w:eastAsia="Courier New" w:hAnsi="Courier New"/>
          <w:sz w:val="15"/>
          <w:szCs w:val="15"/>
          <w:color w:val="auto"/>
        </w:rPr>
        <w:t>The chart below sets forth the percentage of selected procedures that were performed worldwide in 1997 using MIS surgical techniques: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[CHART]</w:t>
      </w:r>
    </w:p>
    <w:p>
      <w:pPr>
        <w:spacing w:after="0" w:line="6" w:lineRule="exact"/>
        <w:rPr>
          <w:sz w:val="20"/>
          <w:szCs w:val="20"/>
          <w:color w:val="auto"/>
        </w:rPr>
      </w:pPr>
    </w:p>
    <w:p>
      <w:pPr>
        <w:ind w:left="460" w:right="4359"/>
        <w:spacing w:after="0" w:line="250" w:lineRule="auto"/>
        <w:rPr>
          <w:sz w:val="20"/>
          <w:szCs w:val="20"/>
          <w:color w:val="auto"/>
        </w:rPr>
      </w:pPr>
      <w:r>
        <w:rPr>
          <w:rFonts w:ascii="Courier New" w:cs="Courier New" w:eastAsia="Courier New" w:hAnsi="Courier New"/>
          <w:sz w:val="15"/>
          <w:szCs w:val="15"/>
          <w:color w:val="auto"/>
        </w:rPr>
        <w:t>EDGAR REPRESENTATION OF DATA POINTS USED IN PRINTED GRAPHIC % PERFORMED USING MIS SURGICAL TECHNIQUES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65%(1)</w:t>
            </w:r>
          </w:p>
        </w:tc>
        <w:tc>
          <w:tcPr>
            <w:tcW w:w="1060" w:type="dxa"/>
            <w:vAlign w:val="bottom"/>
          </w:tcPr>
          <w:p>
            <w:pPr>
              <w:spacing w:after="0"/>
              <w:rPr>
                <w:sz w:val="14"/>
                <w:szCs w:val="14"/>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w:t>
            </w:r>
          </w:p>
        </w:tc>
        <w:tc>
          <w:tcPr>
            <w:tcW w:w="1060" w:type="dxa"/>
            <w:vAlign w:val="bottom"/>
          </w:tcPr>
          <w:p>
            <w:pPr>
              <w:spacing w:after="0"/>
              <w:rPr>
                <w:sz w:val="15"/>
                <w:szCs w:val="15"/>
                <w:color w:val="auto"/>
              </w:rPr>
            </w:pPr>
          </w:p>
        </w:tc>
      </w:tr>
      <w:tr>
        <w:trPr>
          <w:trHeight w:val="881"/>
        </w:trPr>
        <w:tc>
          <w:tcPr>
            <w:tcW w:w="55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NUMBER</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NUMBER</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PROCEDURES</w:t>
            </w:r>
          </w:p>
        </w:tc>
        <w:tc>
          <w:tcPr>
            <w:tcW w:w="106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OF</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PERFORMED</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PROCEDURES</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USING</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PERFORMED</w:t>
            </w:r>
          </w:p>
        </w:tc>
      </w:tr>
      <w:tr>
        <w:trPr>
          <w:trHeight w:val="176"/>
        </w:trPr>
        <w:tc>
          <w:tcPr>
            <w:tcW w:w="5580" w:type="dxa"/>
            <w:vAlign w:val="bottom"/>
          </w:tcPr>
          <w:p>
            <w:pPr>
              <w:spacing w:after="0"/>
              <w:rPr>
                <w:sz w:val="15"/>
                <w:szCs w:val="15"/>
                <w:color w:val="auto"/>
              </w:rPr>
            </w:pPr>
          </w:p>
        </w:tc>
        <w:tc>
          <w:tcPr>
            <w:tcW w:w="11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MIS</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SURGICAL</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TECHNIQUES</w:t>
            </w:r>
          </w:p>
        </w:tc>
        <w:tc>
          <w:tcPr>
            <w:tcW w:w="1060" w:type="dxa"/>
            <w:vAlign w:val="bottom"/>
          </w:tcPr>
          <w:p>
            <w:pPr>
              <w:spacing w:after="0"/>
              <w:rPr>
                <w:sz w:val="15"/>
                <w:szCs w:val="15"/>
                <w:color w:val="auto"/>
              </w:rPr>
            </w:pPr>
          </w:p>
        </w:tc>
      </w:tr>
      <w:tr>
        <w:trPr>
          <w:trHeight w:val="176"/>
        </w:trPr>
        <w:tc>
          <w:tcPr>
            <w:tcW w:w="55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5"/>
                <w:szCs w:val="15"/>
                <w:color w:val="auto"/>
              </w:rPr>
            </w:pP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Cholecystectomy.............................................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1,173,000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1,804,000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Gynecology (except Hysterectomy)............................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1,098,000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2,540,000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Hysterectomy................................................</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234,000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1,170,000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Hernia Repair...............................................</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198,000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1,430,000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Cardiac.....................................................</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39,000</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1,065,000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85% in United States</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Source: Medical Data International,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Intuitive Surgical Solution: Third Generation Surgery</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technology is designed to return to the surgeon the range of motion, fine tissue control and 3-D vision characteristic of open surgery while simultaneously allowing the surgeon to work through the ports used in MIS surgery. All this is accomplished in an intuitive manner, in the same way that the movements of a surgeon's hands in open surgery are entirely intuitive.</w:t>
      </w:r>
    </w:p>
    <w:p>
      <w:pPr>
        <w:spacing w:after="0" w:line="176"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We believe that our technology overcomes many of the limitations of existing MIS surgery in the following ways:</w:t>
      </w:r>
    </w:p>
    <w:p>
      <w:pPr>
        <w:spacing w:after="0" w:line="175" w:lineRule="exact"/>
        <w:rPr>
          <w:sz w:val="20"/>
          <w:szCs w:val="20"/>
          <w:color w:val="auto"/>
        </w:rPr>
      </w:pPr>
    </w:p>
    <w:p>
      <w:pPr>
        <w:ind w:left="640" w:right="297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Instrument Movements. Our technology is designed to directly transform the surgeon's natural hand movements outside the body into corresponding micromovements inside the patient's body. For example, a hand movement to the right outside the body causes the instrument inside the patient to be moved to the right, eliminating the backward nature of existing MIS surgery.</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EndoWrist Instruments Provide Natural Dexterity and Range of Motion. Our technology is designed to provide surgeons with a range of motion in the surgical field analogous to the motions of a human hand and wrist. Our proprietary instruments, which we call EndoWrist instruments, incorporate "wrist" joints that enable surgeons to reach behind tissues and suture with precision, just as they can in open surgery. The surgeon controls the joint's movements from the surgeon's console using natural hand and wrist movements. EndoWrist joints are located near the tips of all of our instruments.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37</w:t>
      </w:r>
    </w:p>
    <w:p>
      <w:pPr>
        <w:spacing w:after="0" w:line="182" w:lineRule="exact"/>
        <w:rPr>
          <w:sz w:val="20"/>
          <w:szCs w:val="20"/>
          <w:color w:val="auto"/>
        </w:rPr>
      </w:pPr>
    </w:p>
    <w:p>
      <w:pPr>
        <w:ind w:left="640" w:right="289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Precise Movements and Reduced Tremor. With our technology, the surgeon can also use "motion scaling," a feature that translates, for example, a three millimeter hand movement outside the patient's body into a one millimeter instrument movement in the surgical field inside the patient's body. Motion scaling is designed to allow greater precision than is normally achievable in both open and MIS surgery. In addition, our technology is designed to filter out the tremor inherent in every surgeon's hands.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Immersive 3-D Visualization. Our vision system, which we call the InSite vision system, is designed to give surgeons the perception that their hands are immersed in the surgical field even though they are outside the patient's body. As a result, we believe that surgeons no longer feel disconnected from the surgical field and the instruments, as they currently do with MIS surgery. In addition, we believe that the InSite system provides a much brighter and sharper image than any other 3-D endoscope vision system. The InSite system also incorporates our proprietary Navigator camera control technology that allows the surgeon to easily change, move, zoom and rotate his or her field of vision. The combination of these features offers what we believe is the most advanced surgical vision system available today.</w:t>
      </w:r>
    </w:p>
    <w:p>
      <w:pPr>
        <w:spacing w:after="0" w:line="174"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Easy to Learn and Perform. In designing our products, we have focused on making our technology as simple as possible to use, even though it is inherently complex. We believe that tissue manipulations using our products are as natural as hand movements in open surgery. In our experience, based on feedback from surgeons who have performed hundreds of procedures, surgeons can learn to manipulate our instruments with only a short amount of training. Learning to perform surgical procedures using the da Vinci System will vary depending on the complexity of the procedure and the surgical team's experience with MIS surgery techniques.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Multi-Specialty Surgical Platform. The da Vinci System is designed to enable surgeons to perform surgery in virtually any part of the body. To date, surgeons have used the da Vinci System to perform over 20 different types of surgical procedures.</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believe that these advantages give the patient the benefits of less traumatic MIS surgery while restoring to the surgeon the range of motion and fine tissue control possible with open surgery, along with further enhancements such as tremor reduction, motion scaling and superior visualization.</w:t>
      </w:r>
    </w:p>
    <w:p>
      <w:pPr>
        <w:spacing w:after="0" w:line="176"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We believe that our technology has the potential to change surgical procedures in three basic ways:</w:t>
      </w:r>
    </w:p>
    <w:p>
      <w:pPr>
        <w:spacing w:after="0" w:line="175" w:lineRule="exact"/>
        <w:rPr>
          <w:sz w:val="20"/>
          <w:szCs w:val="20"/>
          <w:color w:val="auto"/>
        </w:rPr>
      </w:pPr>
    </w:p>
    <w:p>
      <w:pPr>
        <w:ind w:left="640" w:right="3079" w:hanging="188"/>
        <w:spacing w:after="0" w:line="249" w:lineRule="auto"/>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Open Procedures to Intuitive Surgery. We believe our technology will make a number of surgical procedures that currently are performed only with open surgical techniques suitable for Intuitive surgery.</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Facilitate Difficult MIS Operations. We believe surgical procedures that today are performed only rarely using MIS techniques will be performed routinely and with confidence using Intuitive surgery. Some procedures have been adapted for port-based techniques but are extremely difficult and are currently performed by a limited number of highly skilled surgeons. We believe our da Vinci System will enable more surgeons at more institutions to perform these procedures.</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Simplify Existing, High-Volume MIS Procedures. We believe surgical procedures that today are performed routinely using MIS techniques will be performed more quickly and safely with Intuitive surgery. For example, over the past decade, approximately 85% of gall bladder removals performed in the United States have been converted to MIS surgery. We believe that the da Vinci System will make these procedures easier, faster and more cost effective to perform.</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4"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38</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SURGICAL'S PRODUCTS</w:t>
      </w:r>
    </w:p>
    <w:p>
      <w:pPr>
        <w:spacing w:after="0" w:line="182"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Our principal products include the da Vinci Surgical System and a variety of "smart disposable" EndoWrist instruments.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 Vinci Surgical System</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Surgeon's Console. The da Vinci System allows the surgeon to operate while comfortably seated at an ergonomic console viewing a 3-D image of the surgical field. The surgeon's fingers grasp the instrument controls below the display with wrists naturally positioned relative to his or her eyes. Using hardware, software, algorithms, mechanics and optics, our technology is designed to seamlessly translate the surgeon's hand movements into precise and corresponding real-time microsurgical movements of the EndoWrist instruments inside the patient.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Patient-Side Cart. The patient-side cart, which can be easily moved next to the operating table, holds electromechanical arms that manipulate the instruments inside the patient. Three arms attached to the cart can be easily positioned as appropriate, and then locked into place. The first two arms, one representing the left hand and one the right hand of the surgeon, hold our EndoWrist instruments. The third arm positions the endoscope, allowing the surgeon to easily change, move, zoom and rotate his or her field of vision.</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3-D Vision System. The vision system includes our InSite high resolution 3-D endoscope with two separate vision channels linked to two high resolution, progressively scanned color monitors. The vision system also incorporates our InSite image processing equipment comprised of high performance video cameras, specialized edge enhancement and noise reduction equipment. The resulting 3-D image has high resolution and contrast and no flicker or cross-fading, which occurs in single monitor systems, and minimizes eye fatigue. Our vision system allows the surgeon to move his or her head in the viewer without affecting image quality.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EndoWrist Instruments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manufacture a variety of EndoWrist instruments, each of which incorporates a wrist joint for natural dexterity, with tips customized for various surgical procedures. These EndoWrist instruments are currently approximately seven millimeters in diameter. The instruments mount onto the electromechanical arms that represent the surgeon's left and right hands and provide the mechanical capability necessary for performing complex tissue manipulations through ports. At their tips, the various EndoWrist instruments include forceps, scissors, electrocautery, scalpels and other surgical tools that are readily familiar to the surgeon from open and MIS surgery. Generally, a variety of EndoWrist instruments are selected and used interchangeably during the surgery. Where instrument tips need to incorporate a disposable component, for example, scalpel blades, we sell disposable inserts. We plan to continue to add new types of EndoWrist instruments for additional types of surgical procedures.</w:t>
      </w:r>
    </w:p>
    <w:p>
      <w:pPr>
        <w:spacing w:after="0" w:line="351"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EndoWrist instruments are "smart disposables" because they are resterilizable and reusable for a defined number of procedures or hours of use. A custom computer chip inside each instrument performs several functions that help determine how the system and instruments work together. When an EndoWrist instrument is attached to an arm of the patient-side cart, the chip performs an "electronic handshake" that ensures the instrument was manufactured by us and recognizes the type and function of the instrument and number of past uses or hours. For example, the chip distinguishes between scissors and a scalpel and controls the unique functions of different instruments as appropriate. In addition, the chip will not allow the instrument to be used for more than the prescribed number of procedures or hours so that its performance meets specifications during each procedure. In addition, we can sell the instrument for a fixed number of uses or hours and effectively price our EndoWrist instruments on a per-procedure or per-hour basis.</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39</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USING THE DA VINCI SURGICAL SYSTEM</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During a procedure, the patient-side cart is positioned next to the operating table with the electromechanical arms arranged to provide access to the initial ports selected by the surgeon. Metal tubes attached to the arms are inserted through the ports, and the EndoWrist instruments are introduced through the tubes into the patient's body. The surgeon then performs the procedure while sitting comfortably at the surgeon's console, manipulating the instrument controls and viewing the operation through our InSite vision system. When a surgeon needs to change an instrument, as is done many times during an operation, the instrument is withdrawn from the surgical field using the controls at the console, in similar fashion to the way a surgeon withdraws instruments from the patient in MIS surgery. A scrub nurse standing near the patient removes the unwanted instrument from the electromechanical arm and replaces it with the new instrument, in a process designed to be rapid enough not to disturb the natural flow of the procedure. As a result, the scrub nurse plays a role similar to that played in open and MIS surgery. At the conclusion of the operation, the metal tubes are removed from the patient's body and the small incisions are sutured or stapled.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STRATEGY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goal is to establish Intuitive surgery as the standard for complex surgical procedures and many other procedures currently performed using either open or MIS surgery. We intend to accomplish this objective both by pioneering new types of endoscopic surgery and by making existing MIS procedures easier, safer and more cost effective. Over time, our strategy is to broaden the number of procedures performed using the da Vinci Surgical System and to educate surgeons and hospitals as to the benefits of Intuitive surgery. Key elements of this strategy include: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Focus on Key Institutions. Our marketing efforts are focused on large multi-specialty care hospitals where a majority of complex surgical procedures are performed. Following the initial placement at a given hospital, we intend to expand the number of physicians who use the da Vinci Surgical System and work with the hospitals and their surgeons to promote patient education as to the benefits of Intuitive surgery. We believe that these efforts will result in increased usage per system, leading to high volume sales of instruments and sales of additional systems at each hospital. In addition, we believe such efforts will benefit early-adopting hospitals by increasing their market share in the procedures and specialties that benefit from Intuitive surgery. We expect these efforts to increase demand for our products among competitive hospitals, surgeons and referring physicians.</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Focus on Leading Surgeons to Drive Rapid and Broad Adoption. We will place significant emphasis on marketing the da Vinci Surgical System to leading surgeons who are considered to be the "thought leaders" in their institutions and fields. These surgeons typically perform complex surgical procedures that are currently not adaptable to MIS techniques. For example, cardiac procedures, of which over one million are currently performed annually worldwide, are among the most difficult to perform using MIS techniques. This strategy puts surgeons at the forefront of procedure development and provides them an opportunity to maintain a competitive edge in their specialty. We believe that early adoption of our products by surgical thought leaders will give many other surgeons the confidence that the da Vinci Surgical System can be used for all types of surgical procedures.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Develop Protocols for New Surgical Procedures. We intend to leverage our relationships with key institutions and surgical thought leaders to develop protocols for new surgical procedures. These protocols would include guidance on patient screening, port placement, interaction of the surgical team and advice on the sequence and selection of tools and maneuvers. We believe that establishing protocols for a given procedure will facilitate the broader adoption of Intuitive surgery for that procedure.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4"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Maintain Market Leadership. We intend to maintain our leadership advantage by continuing to develop and enhance our technology and to communicate the benefits of our da Vinci Surgical System to surgeons, hospitals and patients. We will continue to improve our da Vinci Surgical System through software and hardware enhancements and by developing new surgical instruments. We will also continue to develop our surgical platform to facilitate and support future surgical innovations.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CLINICAL CONTRIBUTIONS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believe our technology is capable of enhancing or enabling a wide variety of procedures in many surgical specialties. Some of these applications include the following: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Vascular Surgery</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Aortic Aneurysms. A common vascular procedure is the repair of aortic aneurysms, which are sacs formed by the dilation of the wall of the main artery in the body. Aneurysms are caused primarily by atherosclerosis, which is characterized by the deposition of fatty substances in large and medium-sized arteries, such as the arteries that lead to the heart and brain. Surgical treatment involves clamping the aorta and making long incisions at multiple sites to resect and replace the aneurysm with a synthetic graft. Once the aorta is clamped, time is of the essence, since procedures are typically done without heart/lung bypass machines. Thus, only a narrow window of time for completion is available. Currently, some aneurysms are treated by intravascular stent-grafts. These stent-grafts can be inserted through the main artery in the thigh, called the femoral artery, and do not require an incision. However, the necessity of traversing the femoral artery to gain access to the aorta limits the usage of this technique. We believe that the capability of our technology to deliver to the surgeon enhanced dexterity and the ability to suture grafts, alone or in conjunction with stent-grafts, will help convert this procedure from open surgery to Intuitive surgery.</w:t>
      </w:r>
    </w:p>
    <w:p>
      <w:pPr>
        <w:spacing w:after="0" w:line="18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Aorto-Femoral Bypass. The lower portion of the abdominal aorta is often a location of atherosclerosis. Atherosclerotic blockage of this portion of the aorta restricts blood flow to the lower body. To treat this condition using open surgery, a synthetic graft is attached above and below the blockage. This procedure currently requires open surgery because of the need to suture the grafts in place. We believe that with our technology, surgeons will be able to perform the required suturing of arteries, called an anastomosis, through ports and avoid the large incision currently required.</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Cholecystectomy. Removal of the gallbladder, or cholecystectomy, is the most common procedure performed by general surgeons. The procedure is used to treat cholecystitis, which is an inflammation of the gall bladder. Although a minimally invasive approach, called a laparoscopic cholecystectomy, is now well accepted for routine cases, there is great variability in the level of skill required to accomplish the procedure. The skill level necessary to complete a laparoscopic cholecystectomy is dependent on the disease status the surgeon discovers after the abdomen is entered. For example, acute cholecystitis can result in inflammation and the abnormal union of tissues resulting from the formation of new fibrous tissue in the inflammatory process. As a result, very meticulous surgery to access gallbladder anatomy can be required. Similarly, during the operation, the surgeon may find a condition known as choledocolithiasis, or stones in the common bile duct. The surgeon may choose to incise or cut the common duct to extract stones that are caught between the liver and intestine. Exploration of the common bile duct is an extremely delicate procedure that requires micro-sutures to be placed in the common duct. Most surgeons will not do this procedure laparoscopically because of its difficulty. This usually results in a conversion to open technique or another surgical or delicate gastrointestinal endoscopic procedure to extract the stones. With our technology, we believe that the surgeon will have expanded capability to deal with complicated cholecystectomies and can avoid subjecting the patient to a second procedure.</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4"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41</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Nissen Fundoplication. Nissen fundoplication is a general surgical procedure that is performed to correct esophageal reflux. Esophageal reflux disease is a digestive disorder that affects the muscle connecting the esophagus with the stomach. As an elective procedure, Nissen fundoplication is currently performed on only a small fraction of candidates who suffer from this condition because the open surgical procedure is quite invasive. An MIS alternative exists, but there are only a limited number of surgeons skilled in the procedure. We believe that our technology will significantly improve the ease of performing the Nissen procedure through ports. Specifically, our technology will address the two most difficult steps in this procedure, which are made more difficult by existing MIS techniques, esophageal dissection and suturing of the fundus of the stomach. If adoption of our technology becomes widespread for Nissen procedures, we believe that the number of surgeons able to perform a Nissen procedure using port-based techniques will increase. Further, we expect that the widespread availability of a port-based approach may significantly expand the number of surgeries performed.</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Colon Resection. Removal of the colon or large bowel is a common general surgical procedure done for both benign and malignant disease. Colon resection is accomplished in a variety of ways by removing all or part of the colon. These procedures are complicated and involve resecting a portion of diseased tissue and then re-anastomosing the two ends of the colon to re-establish continuity of intestinal flow. When using existing MIS techniques, the challenge is to have enough manipulating capability to perform fine dissection of the colon and then to be able to sew or staple the ends of the bowel to accomplish the re-anastomosis. The MIS procedure is currently performed by only a small fraction of general surgeons. By making dissection significantly more precise, we believe that our products will allow port-based colon resection to be performed more widely.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Hernia Repair. An inguinal hernia is a condition in which tissue protrudes through the wall of the pelvis. It is caused by a defect or weakness in the lining covering the pelvic region. Repair of inguinal hernia is the second most common procedure done in general surgery. There are a variety of hernia procedures available that use both open and MIS techniques. However, the lack of precise dissection capability inhibits adoption of the MIS procedures. Specifically, the delicate dissection of some of the structures and the peritoneal sac, which often adheres to the pelvic anatomy, is very difficult for surgeons to accomplish using MIS techniques. We believe that our technology will encourage surgeons to convert hernia procedures to the port-based approach by removing the training barrier that limits its adoption.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Gynecologic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General Gynecology. Laparoscopy has been used for several decades in a large number of diagnostic infertility procedures. Although there are a variety of therapeutic infertility procedures that can currently be performed by some gynecologists using existing MIS techniques, these procedures are relatively difficult to perform using existing MIS tools because of the lack of tissue control, inability to perform fine dissection, and limited suturing capability. We believe that our technology will provide gynecologists with the ability to do sophisticated procedures such as tubal re-anastomosis and dissection of ovarian cysts, as well as common procedures such as surgical removal of an ovary or fallopian tube.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Hysterectomy. Removal of the uterus is one of the most commonly performed surgeries in gynecology and it can be done by using open or MIS techniques. Like colon resection, it demands a significant degree of tissue manipulation in the dissection and ligation, or tying, of blood vessels, ligaments and other pelvic structures. Further, laparoscopic techniques used in this procedure increase the risk of injury to the ureters, which are vital structures that provide the conduit for urine between the kidney and bladder. It is often difficult to ensure the identification and prevention of injury to the ureters and bladder with conventional MIS instruments because of the limited angles at which these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instruments can be positioned. We believe that our products will increase the surgeon's dexterity in this procedure and, as a result, will have a significant impact on safety, operating time, and rate of adoption of port-based techniques in hysterectomy.</w:t>
      </w:r>
    </w:p>
    <w:p>
      <w:pPr>
        <w:spacing w:after="0" w:line="176"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Bladder Neck Suspension. Bladder incontinence is a widespread condition affecting middle aged women, which can be treated surgically with a procedure known as bladder neck suspension. This procedure involves elevation of the bladder neck by suspension with sutures, surgically recreating the normal angle of the urethra and re-establishing bladder sphincter control. The procedure works well in open surgery and is the "gold standard" for correction of bladder incontinence. However, because of its long recovery time, most candidates are discouraged from undergoing the procedure using open surgical technique. Instead, they use adult diapers for their incontinence, which is an embarrassment and inconvenience. Bladder neck suspension can currently be done laparoscopically but is difficult to perform because of the need to suture at awkward angles using existing MIS instruments. We believe our technology may provide a better solution for suturing the bladder neck and would represent an advance in the ease of performing incontinence surgery.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Orthopedic Surgery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Arthroscopy. Many knee surgeries are accomplished by an MIS technique called arthroscopy. This technique is well accepted in the surgical community. However, many of the more sophisticated maneuvers in arthroscopy, such as suturing torn meniscal tissue, are very difficult with existing MIS instruments. The meniscus is a structure located in the knee joint that provides a surface and cushion upon which the bones of the knee joint can move. We believe that our technology and the capabilities of our EndoWrist instruments will increase the ease with which complex arthroscopic procedures such as advanced knee and shoulder arthroscopy can be performed.</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Spinal Surgery. Disc removal and spinal fusion are common procedures performed in open spinal surgery. MIS techniques where surgeons approach the spine through the abdomen and use laparoscopic methods to expose the anterior portion of the spine and lumbar disc space are just emerging. This procedure requires both delicate and precise dissection and retraction of tissue, and would benefit greatly from the enhanced capabilities offered by the da Vinci Surgical System. We believe that our technology may make this procedure safer, easier, more precise, and allow more surgeons to perform it with confidence.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Cardiothoracic Surgery</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Internal Mammary Artery Dissection. In a coronary artery bypass graft procedure used in cardiac surgery, a blocked coronary artery is bypassed with a graft. When available, an artery from the chest called the internal mammary artery is dissected from its natural position and grafted into place to perform the bypass. Because the internal mammary artery is located on the underside of the anterior surface of the chest, dissection of the vessel is challenging using existing surgical instruments through the three- to five-inch incision currently used in a coronary artery bypass graft procedure. Our products have multiple joints that emulate the surgeon's shoulders and elbows, allowing exact positioning of the instruments inside the patient's chest. In addition, the EndoWrist joints permit the surgeon to reach behind the tissues for easier dissection of the internal mammary artery. Thus, we believe that the internal mammary artery can be dissected with greater ease and precision using our technology.</w:t>
      </w:r>
    </w:p>
    <w:p>
      <w:pPr>
        <w:spacing w:after="0" w:line="200" w:lineRule="exact"/>
        <w:rPr>
          <w:sz w:val="20"/>
          <w:szCs w:val="20"/>
          <w:color w:val="auto"/>
        </w:rPr>
      </w:pPr>
    </w:p>
    <w:p>
      <w:pPr>
        <w:spacing w:after="0" w:line="33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Coronary Anastomosis. Coronary artery bypass graft surgery demands that the surgeon delicately dissect and precisely suture very small structures, which are less than two millimeters in diameter, under significant magnification. These procedures are difficult when performed in open surgery. They are even more difficult when performed using an endoscopic or limited incision approach, and extraordinarily difficult to perform when the heart is beating. As a result, this</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43</w:t>
      </w:r>
    </w:p>
    <w:p>
      <w:pPr>
        <w:spacing w:after="0" w:line="359"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procedure is typically done as open surgery by stopping the heart and using a heart/lung bypass machine. Our technology is designed to allow surgeons to perform scaled instrument movements that can be even more precise than the movements used in open surgery, thus enabling precise suturing of single and multiple coronary vessels on a stopped or beating heart.</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Mitral and Aortic Valve Repair/Replacement. Valve repair and replacement surgeries are challenging even when using open surgical techniques. Significant exposure of the surgical field is essential to the identification and precise manipulation of valves and other structures inside the heart, and is key to successful surgical outcomes with minimal complications. Motion scaling allows a surgeon using our da Vinci Surgical System to maneuver instruments inside the patient even more precisely than is possible in open surgery. Our system has already enabled heart valve repairs to be performed through small ports in a manner that could not have been accomplished with open surgery. Replacement of valves currently requires a small incision, even if the majority of the procedure is eventually performed through ports using our technology, because the replacement valve itself is too large to be inserted into the chest through a port. However, new valve designs that can be delivered through ports are being developed, and the small incisions necessary today to deliver a replacement valve to the heart may eventually not be required, allowing a surgeon using the da Vinci Surgical System to replace a valve entirely using ports.</w:t>
      </w:r>
    </w:p>
    <w:p>
      <w:pPr>
        <w:spacing w:after="0" w:line="36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Thoracoscopy. A number of procedures performed in the thorax, or chest cavity, can be accomplished by minimally invasive methods. These methods are generally referred to as thoracoscopic procedures. They include various types of lung resection, biopsy procedures, node dissections, nerve resections and esophageal surgery. Conventional thoracoscopic tools have all the limitations of conventional laparoscopic tools, such as "backward" movement and limited range of motion. The capability of our technology to operate dexterously in the often very small and restrictive space of the chest cavity is believed to offer significant clinical value in the performance of advanced thoracoscopic procedures.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AND DISTRIBUTION</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market our products through a direct sales force in the United States and most of Europe. We have also entered into agreements with distributors in Italy and Japan. Our marketing and sales strategy in the United States and Europe involves the use of a combination of area sales managers, technical sales representatives and clinical training specialists. As of March 31, 2000, we had 21 employees in sales and marketing. We expect to significantly increase our sales and marketing force as we expand our business.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role of our technical sales representatives is to educate physicians and surgeons on the advantages of Intuitive surgery and the clinical applications that our technology makes possible. We also train our technical sales representatives to educate hospital management on the potential benefits of early adoption of our technology and the potential for increased local market share that may result from Intuitive surgery. Once a hospital has installed a da Vinci Surgical System, our sales force will help introduce the technology to other surgical specialties within the hospital.</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Clinical training specialists provide training and support to physicians and other hospital staff and coordinate installation of our products. We employ service technicians to provide non-clinical technical expertise, upgrades, service and maintenance for our da Vinci Surgical Systems. We believe that this combination of technical sales representatives, clinical training specialists and service technicians provides an appropriate balance of professional selling skills while maintaining an appropriate level of technical expertise in the field.</w:t>
      </w:r>
    </w:p>
    <w:p>
      <w:pPr>
        <w:spacing w:after="0" w:line="17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Our da Vinci Surgical System has a lengthy sales and purchase order cycle because it is a major capital item and requires the approval of senior management at purchasing institutions. Particularly</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4"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44</w:t>
      </w:r>
    </w:p>
    <w:p>
      <w:pPr>
        <w:spacing w:after="0" w:line="182"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during the period in which our sales volume is low, this may contribute to fluctuations in our quarterly operating results.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Using key technologies, we have designed the da Vinci Surgical System to ensure intuitive control and fail-safe operation of the system. The system updates arm and instrument positions over 1000 times per second, thereby ensuring real-time connectivity between the surgeon's hand movements and the movements of the instrument tips. A backup battery is included in the system that can power the system for more than 20 minutes in case of power loss or fluctuation. This 20-minute period is believed to be sufficient either to reestablish the power supply or for the hospital back-up power system to become effective.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Monitoring the operation of the system at all times is a network of approximately 20 micro-controllers that checks for proper system performance. System misuse or system fault can be detected and the system can be transitioned to a safe state in micro-seconds. The system also includes a sensor that detects the presence of the surgeon's head in the viewer. If the surgeon removes his or her head from the viewer, the system automatically disengages and locks the instruments in place to prevent their inadvertent movement.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instrument controls at the surgeon's console have eight degrees of freedom of motion that allow the surgeon to move each hand through a workspace approximately one cubic foot in volume. These degrees of freedom allow the surgeon to orient his or her hands without limitation. The instrument controls are constructed with very low friction cables and gear transmissions to ensure smooth operation. Furthermore, critical components are constructed of magnesium and titanium to provide high mechanical stiffness and low inertia, ensuring a light and responsive feel to the surgeon.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electromechanical arms of the patient-side cart are gravitationally counterbalanced to allow for smooth, easy and safe positioning of the instruments in the patient. The arms have seven degrees of freedom, allowing for control of position, orientation, translation and grip of the instrument, all inside the body. Redundant sensors are designed to ensure fail-safe operation of the instrument tips.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Unlike other 3-D systems, our InSite vision system relies on two entirely separate vision channels. Two eyepieces are linked by a precisely designed optical assembly to two high resolution, and high contrast medical grade monitors, which have been specially designed to have a high visual update rate that eliminates flicker and thus, reduces eye fatigue. Our stereo endoscope uses two separate high resolution optical channels to improve image clarity. The stereo images pass through video processing electronics that provide specialized edge enhancement and noise reduction. A foot switch at the surgeon's console operates a focus controller on the endoscope. The endoscope self-regulates the temperature of its tip to eliminate fogging during procedures.</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EndoWrist instruments use a wrist joint architecture driven by six tiny but very high strength, flexible tungsten cables. Each tungsten cable is a "metal rope" constructed from over 200 fibers that are each less than one thousandth of an inch in diameter. These cables are similar in function to the tendons of a human wrist and are used to drive fluid motions of the wrist joint. The instruments each contain a custom memory chip that records and stores data each time the instrument is placed on the system. The chip contains encrypted security codes to protect against use of non-Intuitive Surgical instruments so that only our instruments will work with the da Vinci Surgical System. The chip identifies the type of tool being inserted so that different instrument types can be controlled uniquely by the system. The chip also records usage of the instrument and expires the instrument after its prescribed life.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45</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359"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Since our inception in late 1995, we have encountered and solved a number of technical hurdles. We have patented and continue to pursue patent and other intellectual property protection for the technology that we have developed to overcome such hurdles. In addition to developing our own patent portfolio, we have spent significant resources in acquiring exclusive license rights to necessary and desirable patents and other intellectual property from SRI International and IBM, who were early leaders in applying robotics to surgery. One of the strengths of our portfolio is that the licensed SRI International and IBM patents have original filing dates as early as January 1992 and June 1991, respectively. We have also exclusively licensed a patent application from MIT concerning robotic surgery. In April 2000, we exclusively licensed an extensive minimally invasive heart surgery patent portfolio from Heartport, Inc. in the field of robotic surgery. These patents cover many different forms of minimally invasive robotic surgery, including single- and multi-vessel coronary artery bypass grafts, heart valve repair and replacement and beating heart stabilization. As of April 30, 2000, we hold exclusive field-of-use licenses for 56 United States patents and 38 foreign patents, and own outright four U.S. patents that expire in 2016. We also own or have licensed numerous pending United States and foreign patent applications, two of which were recently allowed. Our patents and patent applications relate to a number of important aspects of our technology, including our surgeon's console, electromechanical arms, vision system and our EndoWrist instruments. We intend to continue to file additional patent applications to seek protection for other proprietary aspects of our technology.</w:t>
      </w:r>
    </w:p>
    <w:p>
      <w:pPr>
        <w:spacing w:after="0" w:line="200" w:lineRule="exact"/>
        <w:rPr>
          <w:sz w:val="20"/>
          <w:szCs w:val="20"/>
          <w:color w:val="auto"/>
        </w:rPr>
      </w:pPr>
    </w:p>
    <w:p>
      <w:pPr>
        <w:spacing w:after="0" w:line="343"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Our success will depend in part on our ability to obtain patent and copyright protection for our products and processes, to preserve our trade secrets, to operate without infringing or violating valid and enforceable proprietary rights of third parties, and to prevent others from infringing our proprietary rights. We intend to take action to protect our intellectual property rights when we believe doing so is necessary and appropriate. In addition, our strategy is to actively pursue patent protection in the United States and in foreign jurisdictions for technology that we believe is proprietary and that offers a potential competitive advantage, and to license appropriate technologies when necessary or desirable. We cannot be certain that we will be able to obtain adequate protection for our technology or licenses on acceptable terms. Furthermore, if any protection we obtain is reduced or eliminated, others could use our intellectual property without compensating us, resulting in harm to our business. In addition, the laws of certain foreign countries do not protect intellectual property rights to the same extent as do the laws of the United States. See also "Risk Factors -- Others may assert that our products infringe their intellectual property rights, which may cause us to engage in costly disputes and, if we are not successful in defending ourselves, could also cause us to pay substantial damages and prohibit us from selling our products."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SRI International License Agreement</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After receiving funding in 1990 from the U.S. Advanced Research Projects Agency, SRI International conducted research to develop a "telesurgery" system to allow surgeons to perform surgery on the battlefield from a remote location. SRI International developed the precise electromechanics, force-feedback systems, vision systems and surgical instruments needed to build and demonstrate a prototype system that could accurately reproduce a surgeon's hand motions with remote surgical instruments. In 1995, John G. Freund, M.D., one of our founders, acquired an option to license SRI International's telesurgery technology, which resulted in SRI International granting us a license.</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Under the terms of our license agreement with SRI International, we have an exclusive, worldwide, royalty-free license to use the SRI International technology developed before September 12, 1997, including all patents and patent applications resulting from such work, in the</w:t>
      </w:r>
    </w:p>
    <w:p>
      <w:pPr>
        <w:sectPr>
          <w:pgSz w:w="11900" w:h="16838" w:orient="portrait"/>
          <w:cols w:equalWidth="0" w:num="1">
            <w:col w:w="10219"/>
          </w:cols>
          <w:pgMar w:left="240" w:top="294" w:right="1440" w:bottom="144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4"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46</w:t>
      </w:r>
    </w:p>
    <w:p>
      <w:pPr>
        <w:spacing w:after="0" w:line="359"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field of manipulating tissues and medical devices in animal and human medicine, including surgery, laparoscopic surgery and microsurgery. We also have the right of first negotiation with respect to any SRI International technology developed in these areas before September 12, 1999 but after September 12, 1997.</w:t>
      </w:r>
    </w:p>
    <w:p>
      <w:pPr>
        <w:spacing w:after="0" w:line="200" w:lineRule="exact"/>
        <w:rPr>
          <w:sz w:val="20"/>
          <w:szCs w:val="20"/>
          <w:color w:val="auto"/>
        </w:rPr>
      </w:pPr>
    </w:p>
    <w:p>
      <w:pPr>
        <w:spacing w:after="0" w:line="32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license with SRI International will terminate upon the last expiration of the patents licensed from SRI International or December 20, 2012, whichever is later. Currently, the last patent expiration date is in 2016, although this could change. SRI International may terminate the license in the event of a material, uncured breach of our obligations. In the event SRI International terminates the license, we cannot assure you that the necessary licenses could be reacquired from SRI International on satisfactory terms, if at all.</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IBM License Agreement</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IBM conducted research on the application of computers and robotics to surgery during the late 1980s and early 1990s. IBM performed some of this work in conjunction with the Johns Hopkins Medical Center. Our license agreement with IBM covers a number of technologies related to the application of computers and robotics to surgery. Under the terms of this agreement, we have an exclusive, worldwide, royalty-free license to a number of IBM patents and patent applications in the field of surgery performed on animals and humans. We also have a non-exclusive license from IBM to practice in the areas neurology, ophthalmology, orthopedics and biopsies. Under the license, we are obligated to make two future payments tied to revenue milestones. The IBM license agreement will terminate upon the last expiration of the licensed patents. Currently, the last patent expiration date is in 2016, although this could change. IBM may terminate the license in the event that we fail to make the required payments. In the event IBM terminates the license agreement, we cannot assure you that necessary licenses could be reacquired from IBM on satisfactory terms, if at all.</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 License Agreement</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After receiving funding from the U.S. Department of the Army, several researchers at MIT conducted research on various aspects of robotic surgical systems. As a result of that work, several patent applications were filed. Both MIT and the Army waived their rights to one of these applications, which the inventors ultimately assigned to Intuitive Surgical. MIT owns the other application. Under the terms of our license agreement with MIT, we have an exclusive, worldwide, royalty-free license to this patent application in the field of medical devices. The MIT license will terminate upon the last expiration of any patents issuing from the licensed patent application. MIT also has the right to terminate the MIT license in the event of a material, uncured breach of our obligations under the license. In the event MIT terminates the license, we cannot assure you that we would be able to reacquire a license from MIT on satisfactory terms, if at all.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Substantially all of our research and development activity is performed internally. Our research and development team is divided into four groups: software engineering, systems analysis, electrical engineering and mechanical engineering. In addition, various members of the research and development team support the design and development of the manufacturing processes used in fabricating our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359" w:lineRule="exact"/>
        <w:rPr>
          <w:sz w:val="20"/>
          <w:szCs w:val="20"/>
          <w:color w:val="auto"/>
        </w:rPr>
      </w:pPr>
    </w:p>
    <w:p>
      <w:pPr>
        <w:ind w:right="3359" w:firstLine="458"/>
        <w:spacing w:after="0" w:line="249" w:lineRule="auto"/>
        <w:rPr>
          <w:sz w:val="20"/>
          <w:szCs w:val="20"/>
          <w:color w:val="auto"/>
        </w:rPr>
      </w:pPr>
      <w:r>
        <w:rPr>
          <w:rFonts w:ascii="Courier New" w:cs="Courier New" w:eastAsia="Courier New" w:hAnsi="Courier New"/>
          <w:sz w:val="15"/>
          <w:szCs w:val="15"/>
          <w:color w:val="auto"/>
        </w:rPr>
        <w:t>We have a 13,000 square foot manufacturing facility in Mountain View, California. We have used this facility and our manufacturing personnel to produce the systems and instruments that have been sold to date and used in clinical trials. The manufacture of our products is a complex operation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47</w:t>
      </w:r>
    </w:p>
    <w:p>
      <w:pPr>
        <w:spacing w:after="0" w:line="359"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involving a number of separate processes and components. In March 2000, the FDA inspected our Mountain View facility and the Good Manufacturing Practice issues raised during the inspection by the FDA have been resolved.</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purchase both custom and off-the-shelf components from a large number of certified suppliers and subject them to stringent quality specifications. We periodically conduct quality audits of suppliers and have established a supplier certification program. Some of the components necessary for the assembly of our products are currently provided to us by sole source suppliers or single source suppliers. We purchase components through purchase orders rather than long-term supply agreements and generally do not maintain large volumes of inventory. The disruption or termination of the supply of components could cause a significant increase in the costs of these components, which could affect our profitability. A disruption or termination in the supply of components could also result in our inability to meet demand for our products, which could harm our ability to generate revenues, lead to customer dissatisfaction and damage our reputation.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jc w:val="both"/>
        <w:ind w:right="3179" w:firstLine="458"/>
        <w:spacing w:after="0" w:line="249" w:lineRule="auto"/>
        <w:rPr>
          <w:sz w:val="20"/>
          <w:szCs w:val="20"/>
          <w:color w:val="auto"/>
        </w:rPr>
      </w:pPr>
      <w:r>
        <w:rPr>
          <w:rFonts w:ascii="Courier New" w:cs="Courier New" w:eastAsia="Courier New" w:hAnsi="Courier New"/>
          <w:sz w:val="15"/>
          <w:szCs w:val="15"/>
          <w:color w:val="auto"/>
        </w:rPr>
        <w:t>We consider our primary competition to be existing open or MIS surgical techniques. Our success depends in part on convincing hospitals, surgeons and patients to convert procedures to Intuitive surgery from open or existing MIS surgery.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We also face competition from several companies that are developing new approaches and products for the minimally invasive surgery market, and, in particular, minimally invasive cardiac surgery. Many of these companies have an established presence in the field of MIS, including Boston Scientific Corporation, CardioThoracic Systems, Inc., a division of Guidant Corporation, C.R. Bard, Inc., Guidant Corporation, Heartport, Inc., Ethicon Endo-Surgery, Inc., a division of Johnson &amp; Johnson, Medtronic, Inc., and United States Surgical Corporation, a division of Tyco International Ltd. If we are unable to compete successfully with these companies our revenues will suffer.</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addition, a limited number of companies are using robots and computers in surgery, including Brock Rogers Surgical, Inc., Computer Motion, Inc., Integrated Surgical Systems, Inc., Johns Hopkins University Engineering Research Consortium, Maquet AG, MicroDexterity Systems, Inc. and Ross-Hime Designs, Inc. Our revenues may be reduced or eliminated if our competitors develop and market products that are more effective or less expensive than our products.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believe that the primary competitive factors in the market we address are capability, safety, efficacy, ease of use, price, quality, reliability, and effective sales, support, training and service. The length of time required for products to be developed and to receive regulatory and reimbursement approval is also an important competitive factor.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FDA's Premarket Clearance and Approval Requirements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Unless an exemption applies, each medical device that we wish to market in the U.S. must first receive either "510(k) clearance" or "PMA approval" from the U.S. Food and Drug Administration pursuant to the Federal Food, Drug, and Cosmetic Act. The FDA's 510(k) clearance process usually takes from four to 12 months, but it can last longer. The process of obtaining PMA approval is much more costly, lengthy and uncertain. It generally takes from one to three years or even longer. We cannot be sure that 510(k) clearance or PMA approval will be obtained in the future for any product we propose to market.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FDA decides whether a device must undergo either the 510(k) clearance or PMA approval process based upon statutory criteria. These criteria include the level of risk that the agency perceives is associated with the device and a determination whether the product is similar to devices that are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4"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48</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already legally marketed. Devices deemed to pose relatively less risk are placed in either class I or II, which requires the manufacturer to request 510(k) clearance, unless an exemption applies. The manufacturer must demonstrate that the proposed device is "substantially equivalent" in intended use, safety and effectiveness to a legally marketed "predicate device" that is either in class I, class II, or is a "preamendment" class III device, one that was in commercial distribution before May 28, 1976, for which the FDA has not yet called for submission of a PMA application. After a device receives 510(k) clearance, any modification to the device that could significantly affect its safety or effectiveness, or that would constitute a major change in its intended use, requires a new 510(k) clearance or could require a PMA approval.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Devices deemed by the FDA to pose the greatest risk, such as life-sustaining, life-supporting or implantable devices, or devices deemed not substantially equivalent to a legally marketed predicate device, are placed in class III. Such devices are required to undergo the PMA approval process in which the manufacturer must prove the safety and effectiveness of the device to the FDA's satisfaction.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 PMA application must provide extensive preclinical and clinical trial data as well as information about the device and its components regarding, among other things, device design, manufacturing and labeling. As part of the PMA review, the FDA will inspect the manufacturer's facilities for compliance with Good Manufacturing Practice requirements, which include elaborate testing, control, documentation and other quality assurance procedures. During the FDA's review, an FDA advisory committee, typically a panel of clinicians, likely will be convened to review the application and recommend to the FDA whether, or upon what conditions, the device should be approved. Although the FDA is not bound by the advisory panel decision, the panel's recommendation is important to the FDA's overall decision making process. If the FDA's evaluation of the PMA application is favorable, the FDA typically issues an "approvable letter" requiring the applicant's agreement to comply with specific conditions or to supply specific additional data or information in order to secure final PMA approval.</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Once the approvable letter conditions are satisfied, the FDA will issue a PMA order for the approved indications, which can be more limited than those originally sought by the manufacturer. The PMA order can include post-approval conditions that the FDA believes necessary to ensure the safety and effectiveness of the device including, among other things, restrictions on labeling, promotion, sale and distribution. Failure to comply with the conditions of approval can result in an enforcement action, including withdrawal of the approval. The PMA process can be expensive and lengthy, and no assurance can be given that any PMA application will ever be approved for marketing. After approval of a PMA, a new PMA or PMA supplement may be required in the event of modifications to the device, its labeling or its manufacturing process.</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A clinical trial may be required to support a 510(k) submission and generally is required for a PMA application. Such trials generally require an investigational device exemption application, or IDE, approved in advance by the FDA for a specified number of patients and study sites, unless the product is deemed an insignificant risk device eligible for more abbreviated IDE requirements. The IDE must be supported by appropriate data, such as animal and laboratory testing results. Clinical trials may begin if the FDA and the appropriate institutional review boards at the clinical trial sites approve the IDE. Trials must be conducted in conformance with FDA regulations and institutional review board requirements. The sponsor or the FDA may suspend these trials at any time if they are deemed to pose unacceptable health risks or if the FDA finds deficiencies in the way they are being conducted. Data from clinical trials are often subject to varying interpretations that could delay, limit or prevent FDA approval.</w:t>
      </w:r>
    </w:p>
    <w:p>
      <w:pPr>
        <w:spacing w:after="0" w:line="36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Currently, our console, patient-side cart and all of our instruments have not been approved by the FDA to be used in any particular surgical procedure. In July 1997, we received 510(k) clearance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49</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from the FDA for the surgeon's console and patient cart to be used with only rigid endoscopes, blunt dissectors, retractors and stabilizer instruments. In November 1997, we withdrew a subsequent 510(k) submission covering additional instruments necessary for performing most surgical procedures, including scissors, scalpels, forceps/pickups, needle holders, clip appliers and electrocautery, after the FDA indicated that substantial clinical data would be required to support clearance.</w:t>
      </w:r>
    </w:p>
    <w:p>
      <w:pPr>
        <w:spacing w:after="0" w:line="35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In January 1999, we filed a 510(k) submission with clinical data, seeking clearance for the da Vinci Surgical System and EndoWrist instruments for laparoscopic surgical procedures. In May 1999, the FDA determined that our products were not eligible for 510(k) clearance but would instead be required to undergo the PMA approval process. On June 16, 1999, after review of the clinical data on the use of our products in laparoscopic surgical procedures, the FDA's General Surgery Advisory Panel recommended approval. In November 1999, we filed a PMA application to commercialize our products for laparoscopic surgery which was accepted for review by the FDA in December 1999. This PMA application is currently subject to approval by the FDA. In March 2000, the FDA inspected our Mountain View facility and the Good Manufacturing Practice issues raised during the inspection have been resolved. In April 2000, we received a letter from the FDA setting forth a number of issues which need to be resolved prior to obtaining a PMA approval. We cannot assure you that we will successfully resolve these issues or obtain FDA approval for the use of our products in laparoscopic or other surgical procedures on a timely basis or at all. We anticipate that the FDA will require a new PMA approval or PMA supplement approval for additional types of surgical procedures for which we propose to market our products.</w:t>
      </w:r>
    </w:p>
    <w:p>
      <w:pPr>
        <w:spacing w:after="0" w:line="200" w:lineRule="exact"/>
        <w:rPr>
          <w:sz w:val="20"/>
          <w:szCs w:val="20"/>
          <w:color w:val="auto"/>
        </w:rPr>
      </w:pPr>
    </w:p>
    <w:p>
      <w:pPr>
        <w:spacing w:after="0" w:line="33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presently have a thoracoscopic clinical study in progress. If completed, this study may be the subject of a PMA application for permission to commercialize our products for thoracoscopic procedures. In the next twelve months, we anticipate submitting one or more investigational device exemption applications requesting permission to conduct trials for mitral valve repair and coronary artery bypass. We cannot assure you that the FDA will approve our investigational device exemption applications or permit such trials to go forward, or that such trials will produce clinical data adequate to support a PMA application.</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are subject to inspection and market surveillance by the FDA to determine compliance with regulatory requirements. If the FDA finds that we have failed to comply, the agency can institute a wide variety of enforcement actions, ranging from a public warning letter to more severe sanctions. The FDA also has the authority to request repair, replacement or refund of the cost of any medical device manufactured or distributed by us. Our failure to comply with applicable requirements could lead to an enforcement action that may have an adverse effect on our financial condition and results of operations.</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California Regulation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state of California requires that we obtain a license to manufacture medical devices and subjects us to periodic inspection. Our facilities and manufacturing processes were inspected in February 1998. We passed the inspection and received our device manufacturing license from the Food and Drug Branch of the California Department of Health Service in March 1998. The license has remained in effect ever since.</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Foreign Regulation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order for us to market our products in other countries, we must obtain regulatory approvals and comply with extensive safety and quality regulations in other countries. These regulations, including the requirements for approvals or clearance and the time required for regulatory review, vary from country to country. Failure to obtain regulatory approval in any foreign country in which we plan to market our products may harm our ability to generate revenue and harm our business.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4"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50</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Commercialization of medical devices in Europe is regulated by the European Union. The European Union presently requires that all medical products bear the CE mark, an international symbol of adherence to quality assurance standards and demonstrated clinical effectiveness. Compliance with the Medical Device Directive, as certified by a recognized European Competent Authority, permits the manufacturer to affix the CE mark on its products. In January 1999, following an audit of our quality system and Mountain View facility, we received permission from the Danish Government, which was our European Competent Authority, to affix the CE mark to our da Vinci Surgical System and EndoWrist instruments for general surgical use, Class II-b. Additional CE approvals for use of our da Vinci Surgical System and EndoWrist instruments in cardiac surgery were received in September 1999 and February 2000, Class III.</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If we modify existing products or develop new products in the future, we will need to apply for permission to affix the CE mark to such products. In addition, we will be subject to annual regulatory audits in order to maintain the CE mark permissions we have already obtained. We cannot be certain that we will be able to obtain permission to affix the CE mark for new or modified products or that we will continue to meet the quality and safety standards required to maintain the permissions we have already received. If we are unable to maintain permission to affix the CE mark to our products, we will no longer be able to sell our products in member countries of the European Union.</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Ministry of Health and Welfare regulates commercialization and reimbursement of medical devices in Japan. We are currently in the process of developing a clinical trial strategy for laparoscopic and cardiovascular use of the da Vinci Surgical System and our EndoWrist instruments with our commercial partner in Japan. However, we cannot assure you that we will succeed in procuring the required approvals to market our products in Japan or elsewhere, even if we develop a strategy and ultimately apply for these approvals.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THIRD-PARTY REIMBURSEMENT</w:t>
      </w:r>
    </w:p>
    <w:p>
      <w:pPr>
        <w:spacing w:after="0" w:line="359" w:lineRule="exact"/>
        <w:rPr>
          <w:sz w:val="20"/>
          <w:szCs w:val="20"/>
          <w:color w:val="auto"/>
        </w:rPr>
      </w:pPr>
    </w:p>
    <w:p>
      <w:pPr>
        <w:jc w:val="both"/>
        <w:ind w:right="2899" w:firstLine="458"/>
        <w:spacing w:after="0" w:line="248" w:lineRule="auto"/>
        <w:rPr>
          <w:sz w:val="20"/>
          <w:szCs w:val="20"/>
          <w:color w:val="auto"/>
        </w:rPr>
      </w:pPr>
      <w:r>
        <w:rPr>
          <w:rFonts w:ascii="Courier New" w:cs="Courier New" w:eastAsia="Courier New" w:hAnsi="Courier New"/>
          <w:sz w:val="15"/>
          <w:szCs w:val="15"/>
          <w:color w:val="auto"/>
        </w:rPr>
        <w:t>In the United States and international markets where we intend to sell our products, the government and health insurance companies together are responsible for hospital and surgeon reimbursement for virtually all surgical procedures.</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Governments and insurance companies generally reimburse hospitals and physicians for surgery when the procedures are considered non-experimental and non-cosmetic. In the United States, reimbursement for medical procedures under the Medicare and Medicaid programs is governed by the Health Care Financing Administration and, in the case of investigational devices, by the FDA. Reimbursement, however, is only available if an appropriate Current Procedural Terminology code exists for the procedure performed. If an appropriate Current Procedural Terminology code does not exist, then an application requesting an appropriate code can be made to the American Medical Association.</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Governments and insurance companies carefully review and increasingly challenge the prices charged for medical products and services. Reimbursement rates from private companies vary depending on the procedure performed, the third-party involved, the insurance plan involved, and other factors. Medicare reimburses hospitals a prospectively determined fixed amount for the costs associated with an in-patient hospitalization based on the patient's discharge diagnosis, and reimburses physicians a prospectively determined fixed amount based on the procedure performed. This fixed amount is paid regardless of the actual costs incurred by the hospital or physician in furnishing the care and is unrelated to the specific devices used in that procedure. Thus, any reimbursements that hospitals obtain for performing surgery with our products will generally have to cover any additional costs that hospitals incur in purchasing our products.</w:t>
      </w:r>
    </w:p>
    <w:p>
      <w:pPr>
        <w:spacing w:after="0" w:line="18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present, the da Vinci Surgical System is categorized as an "experimental device" and thus does not qualify for Medicare reimbursement. In late 1999, the FDA denied our formal request for reclassification of the da Vinci Surgical System as an investigational, rather than an experimental,</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device. We presently believe that unless and until the FDA approves our PMA application for a particular indication, such as laparoscopic use, reimbursement through Medicare will be unavailable in the United States for our products.</w:t>
      </w:r>
    </w:p>
    <w:p>
      <w:pPr>
        <w:spacing w:after="0" w:line="35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Domestic institutions will typically bill the services performed with our products to various third-party payors, such as Medicare, Medicaid and other government programs and private insurance plans. We believe that the procedures we intend to target if and when we receive FDA approval are generally already reimbursable by government agencies and insurance companies. Accordingly, we believe hospitals and surgeons in the United States will generally not be required to obtain new billing authorizations or codes in order to be compensated for performing approved surgery using our products. If hospitals do not obtain sufficient reimbursement from third-party payors for procedures performed with our products, or if governmental and private payors' policies do not permit reimbursement for surgical procedures performed using our products, we may not be able to generate the revenues necessary to support our business. In such circumstances, we may have to apply to the American Medical Association for a unique Current Procedural Terminology code covering computer-enhanced surgery. If an application for a unique code is required, reimbursement for any use of our products may be unavailable until an appropriate code is granted. The application process, from filing until adoption of a new code, can take two or more years.</w:t>
      </w:r>
    </w:p>
    <w:p>
      <w:pPr>
        <w:spacing w:after="0" w:line="200" w:lineRule="exact"/>
        <w:rPr>
          <w:sz w:val="20"/>
          <w:szCs w:val="20"/>
          <w:color w:val="auto"/>
        </w:rPr>
      </w:pPr>
    </w:p>
    <w:p>
      <w:pPr>
        <w:spacing w:after="0" w:line="33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countries outside the United States, reimbursement is obtained from various sources, including governmental authorities, private health insurance plans, and labor unions. In most foreign countries, private insurance systems may also offer payments for some therapies. Although not as prevalent as in the United States, health maintenance organizations are emerging in certain European countries. To effectively conduct our business, we may need to seek international reimbursement approvals, and we do not know if these required approvals will be obtained in a timely manner or at all.</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Any regulatory or legislative developments in domestic or foreign markets that eliminate or reduce reimbursement rates for procedures performed with our products could harm our ability to sell our products or cause downward pressure on the prices of our products, either of which would affect our ability to generate the revenues necessary to support our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March 31, 2000, we had 116 employees, 33 of whom were engaged directly in research and development, 43 in manufacturing and service and 40 in marketing, sales, and administrative activities. None of our employees is covered by a collective bargaining agreement, and we consider our relationship with our employees to be good.</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lease approximately 50,000 square feet in Mountain View, California. The facility is leased through February 2002, and we have an option to extend the lease for an additional three-year term. We believe that this facility will be adequate to meet our needs through 2001. Approximately 12,000 square feet are subleased to a third party through July 2000.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35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From time to time, we may be involved in litigation relating to claims arising out of our operations or relating to our business. As of the date of this prospectus, we are not engaged in any legal proceedings that we expect to harm our business.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4" w:right="1440" w:bottom="1440" w:gutter="0" w:footer="0" w:header="0"/>
        </w:sectPr>
      </w:pPr>
    </w:p>
    <w:bookmarkStart w:id="54" w:name="page55"/>
    <w:bookmarkEnd w:id="54"/>
    <w:p>
      <w:pPr>
        <w:ind w:left="266"/>
        <w:spacing w:after="0"/>
        <w:rPr>
          <w:sz w:val="20"/>
          <w:szCs w:val="20"/>
          <w:color w:val="auto"/>
        </w:rPr>
      </w:pPr>
      <w:r>
        <w:rPr>
          <w:rFonts w:ascii="Courier New" w:cs="Courier New" w:eastAsia="Courier New" w:hAnsi="Courier New"/>
          <w:sz w:val="15"/>
          <w:szCs w:val="15"/>
          <w:color w:val="auto"/>
        </w:rPr>
        <w:t>52</w:t>
      </w:r>
    </w:p>
    <w:p>
      <w:pPr>
        <w:spacing w:after="0" w:line="182"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EXECUTIVE OFFICERS, SENIOR MANAGEMENT AND DIRECTORS</w:t>
      </w:r>
    </w:p>
    <w:p>
      <w:pPr>
        <w:spacing w:after="0" w:line="359" w:lineRule="exact"/>
        <w:rPr>
          <w:sz w:val="20"/>
          <w:szCs w:val="20"/>
          <w:color w:val="auto"/>
        </w:rPr>
      </w:pPr>
    </w:p>
    <w:p>
      <w:pPr>
        <w:ind w:left="6" w:right="2979" w:firstLine="458"/>
        <w:spacing w:after="0" w:line="250" w:lineRule="auto"/>
        <w:rPr>
          <w:sz w:val="20"/>
          <w:szCs w:val="20"/>
          <w:color w:val="auto"/>
        </w:rPr>
      </w:pPr>
      <w:r>
        <w:rPr>
          <w:rFonts w:ascii="Courier New" w:cs="Courier New" w:eastAsia="Courier New" w:hAnsi="Courier New"/>
          <w:sz w:val="15"/>
          <w:szCs w:val="15"/>
          <w:color w:val="auto"/>
        </w:rPr>
        <w:t>The following table presents information regarding our executive officers, senior management and directors as of March 31,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00" w:type="dxa"/>
            <w:vAlign w:val="bottom"/>
          </w:tcPr>
          <w:p>
            <w:pPr>
              <w:ind w:left="1360"/>
              <w:spacing w:after="0"/>
              <w:rPr>
                <w:sz w:val="20"/>
                <w:szCs w:val="20"/>
                <w:color w:val="auto"/>
              </w:rPr>
            </w:pPr>
            <w:r>
              <w:rPr>
                <w:rFonts w:ascii="Courier New" w:cs="Courier New" w:eastAsia="Courier New" w:hAnsi="Courier New"/>
                <w:sz w:val="15"/>
                <w:szCs w:val="15"/>
                <w:color w:val="auto"/>
              </w:rPr>
              <w:t>NAME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40" w:type="dxa"/>
            <w:vAlign w:val="bottom"/>
          </w:tcPr>
          <w:p>
            <w:pPr>
              <w:ind w:left="196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330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540" w:type="dxa"/>
            <w:vAlign w:val="bottom"/>
          </w:tcPr>
          <w:p>
            <w:pPr>
              <w:ind w:left="1960"/>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EXECUTIVE OFFICERS</w:t>
            </w:r>
          </w:p>
        </w:tc>
        <w:tc>
          <w:tcPr>
            <w:tcW w:w="500" w:type="dxa"/>
            <w:vAlign w:val="bottom"/>
          </w:tcPr>
          <w:p>
            <w:pPr>
              <w:spacing w:after="0"/>
              <w:rPr>
                <w:sz w:val="24"/>
                <w:szCs w:val="24"/>
                <w:color w:val="auto"/>
              </w:rPr>
            </w:pPr>
          </w:p>
        </w:tc>
        <w:tc>
          <w:tcPr>
            <w:tcW w:w="454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President, Chief Executive Officer and 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Finance, Chief Financial Officer</w:t>
            </w:r>
          </w:p>
        </w:tc>
      </w:tr>
      <w:tr>
        <w:trPr>
          <w:trHeight w:val="176"/>
        </w:trPr>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and Assistant Secretary</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Frederic H. Moll, M.D..............</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Medical Director and 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and Chief Technology Officer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SENIOR MANAGEMENT</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Corinne Z. Augustine...............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Manufacturing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Douglas M. Bruce...................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Product Marketing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David Casal, Ph.D. ................</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45</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Clinical, Regulatory and Quality</w:t>
            </w:r>
          </w:p>
        </w:tc>
      </w:tr>
      <w:tr>
        <w:trPr>
          <w:trHeight w:val="176"/>
        </w:trPr>
        <w:tc>
          <w:tcPr>
            <w:tcW w:w="3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Affairs</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Gary S. Guthart, Ph.D. ............</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Engineering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David M. Shaw......................</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Chief Patent Counsel</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Thierry B. Thaure..................</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Vice President, Sales and Marketing</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Alan C. Mendelson..................</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Secretary</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DIRECTORS</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Scott S. Halsted(1)................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Russell C. Hirsch, M.D.,</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Ph.D.(2).........................</w:t>
            </w:r>
          </w:p>
        </w:tc>
        <w:tc>
          <w:tcPr>
            <w:tcW w:w="50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Richard J. Kramer(1)...............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James A. Lawrence(1)...............</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47</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Alan J. Levy, Ph.D.(2).............</w:t>
            </w: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4540" w:type="dxa"/>
            <w:vAlign w:val="bottom"/>
          </w:tcPr>
          <w:p>
            <w:pPr>
              <w:ind w:left="14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34"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hanging="366"/>
        <w:spacing w:after="0"/>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82"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Lonnie M. Smith has been our President and Chief Executive Officer since May 1997 and has served as a member of our board of directors since December 1996. From 1977 until joining Intuitive Surgical, Mr. Smith was with Hillenbrand Industries, Inc., a public holding company, serving as the Senior Executive Vice President, a member of the Office of the President, and director since 1982, as Executive Vice President of American Tourister, Inc., from 1978 to 1982, and as a Senior Vice President of Corporate Planning from 1977 to 1978. Mr. Smith has also held positions with The Boston Consulting Group and IBM. Mr. Smith currently serves as a director of Biosite Diagnostics, Inc. Mr. Smith received a B.S.E.E. from Utah State University and an M.B.A. from Harvard Business School.</w:t>
      </w:r>
    </w:p>
    <w:p>
      <w:pPr>
        <w:spacing w:after="0" w:line="175"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Susan K. Barnes has been our Vice President, Finance, Chief Financial Officer and Assistant Secretary since May 1997. From January 1995 to September 1996, Ms. Barnes founded and served as Managing Director of the Private Equity Group of Jefferies and Company, Inc., an investment bank. From January 1994 to January 1995, she founded and served as Managing General Partner of Westwind Capital Partners, a private equity fund. From June 1991 to January 1994, Ms. Barnes served as Chief Financial Officer and Managing Director of BLUM Capital Partners, L.P., formerly Richard C. Blum &amp; Associates, Inc., a merchant banking firm. From September 1985 to June 1991, she served as Vice President and Chief Financial Officer of NeXT Computer, Inc., a computer</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5"/>
          </w:cols>
          <w:pgMar w:left="234" w:top="29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53</w:t>
      </w:r>
    </w:p>
    <w:p>
      <w:pPr>
        <w:spacing w:after="0" w:line="182"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company. Ms. Barnes received a B.A. from Bryn Mawr College and an M.B.A. from the Wharton School, University of Pennsylvania.</w:t>
      </w:r>
    </w:p>
    <w:p>
      <w:pPr>
        <w:spacing w:after="0" w:line="175"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Frederic H. Moll, M.D. is a co-founder of Intuitive Surgical and has served as Vice President, Medical Director and as a member of our board of directors since our inception. In 1989, Dr. Moll co-founded Origin Medsystems, Inc., a medical device company and served as Medical Director through 1995. Origin was acquired by Eli Lilly &amp; Company in 1992 and is now a wholly-owned subsidiary of Tyco Health Care. In 1984, Dr. Moll founded Endotherapeutics, Inc., a medical device company, which was acquired by United States Surgical Corporation in</w:t>
      </w:r>
    </w:p>
    <w:p>
      <w:pPr>
        <w:spacing w:after="0" w:line="4"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1992. Dr. Moll received a B.A. from the University of California, Berkeley, an M.S. in Management from Stanford University's Sloan Program and an M.D. from the University of Washington.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Robert G. Younge is a co-founder of Intuitive Surgical and has served as our Vice President and Chief Technology Officer since November 1999. From our inception to November 1999, Mr. Younge served as our Vice President, Engineering. Mr. Younge co-founded Acuson Corporation, a medical device company, in 1979 and served as Vice President, Engineering and in various other capacities until co-founding Intuitive Surgical. From 1994 to December 1995, Mr. Younge managed the Product Engineering Group at Acuson which introduced the Aspen System in 1996. In 1991, he founded Acuson's Transducer Division and served as its General Manager until 1994. The Transducer Division introduced Acuson's first flexible endoscopic transducer. Mr. Younge received a B.S.E.E. and an M.S.E.E. from Stanford University.</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Corinne Z. Augustine has been our Vice President, Manufacturing since October 1999. Prior to joining Intuitive Surgical, from 1997 to October 1999, Ms. Augustine served as a Vice President, Manufacturing with Acuson Corporation. From 1994 to 1997, Ms. Augustine was a Director of Manufacturing with Acuson and from 1991 to 1994, she held the position of a Manufacturing Project Manager at Acuson. Ms. Augustine received a B.S.I.E. from the University of Florida and an M.B.A. from Stanford University.</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Douglas M. Bruce has been our Vice President, Product Marketing since December 1997 and joined us as Director, Product Management in May 1997. Prior to joining Intuitive Surgical, Mr. Bruce served as Vice President, Engineering with Acuson Corporation from January 1997 to May 1997. Mr. Bruce served as Acuson's Director of Engineering from August 1994 to December 1995 and held Engineering Manager positions with Acuson from October 1987 to August 1994. Mr. Bruce received a B.S. in Mechanical Engineering from the University of California, Berkeley, and an M.S. in Mechanical Engineering from Santa Clara University.</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David Casal, Ph.D. has been our Vice President, Clinical, Regulatory, and Quality Affairs since September 1999. From 1996 until joining Intuitive Surgical, Mr. Casal was with Metra Biosystems, Inc., a medical technology company, serving as Vice President of Clinical, Regulatory, and Quality Affairs. From 1989 through 1996, Mr. Casal held many positions with Adeza Biomedical, Inc., a biotechnology company, with the last being Vice President of Clinical and Regulatory Affairs. Mr. Casal has also held positions with Hybritech, Inc. and Progenex, Inc., medical technology companies. Mr. Casal received his B.A in American History, M.S. in Physiology, and Ph.D. in Cardiovascular Epidemiology, from the University of Minnesota, and was a National Institute of Health Post-Doctoral Research Fellow in the School of Medicine at the University of California, San Diego.</w:t>
      </w:r>
    </w:p>
    <w:p>
      <w:pPr>
        <w:spacing w:after="0" w:line="200" w:lineRule="exact"/>
        <w:rPr>
          <w:sz w:val="20"/>
          <w:szCs w:val="20"/>
          <w:color w:val="auto"/>
        </w:rPr>
      </w:pPr>
    </w:p>
    <w:p>
      <w:pPr>
        <w:spacing w:after="0" w:line="327"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Gary S. Guthart, Ph.D. has been our Vice President, Engineering since November 1999. He joined Intuitive Surgical in April 1996. From August 1992 to April 1996, as Senior Research Engineer, Mr. Guthart was part of the core team developing foundation technology for computer enhanced surgery at SRI International. Mr. Guthart received a B.S. in Engineering from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4" w:right="1440" w:bottom="1440" w:gutter="0" w:footer="0" w:header="0"/>
        </w:sectPr>
      </w:pPr>
    </w:p>
    <w:bookmarkStart w:id="56" w:name="page57"/>
    <w:bookmarkEnd w:id="56"/>
    <w:p>
      <w:pPr>
        <w:ind w:left="266"/>
        <w:spacing w:after="0"/>
        <w:rPr>
          <w:sz w:val="20"/>
          <w:szCs w:val="20"/>
          <w:color w:val="auto"/>
        </w:rPr>
      </w:pPr>
      <w:r>
        <w:rPr>
          <w:rFonts w:ascii="Courier New" w:cs="Courier New" w:eastAsia="Courier New" w:hAnsi="Courier New"/>
          <w:sz w:val="15"/>
          <w:szCs w:val="15"/>
          <w:color w:val="auto"/>
        </w:rPr>
        <w:t>54</w:t>
      </w:r>
    </w:p>
    <w:p>
      <w:pPr>
        <w:spacing w:after="0" w:line="182" w:lineRule="exact"/>
        <w:rPr>
          <w:sz w:val="20"/>
          <w:szCs w:val="20"/>
          <w:color w:val="auto"/>
        </w:rPr>
      </w:pPr>
    </w:p>
    <w:p>
      <w:pPr>
        <w:ind w:left="6" w:right="2979"/>
        <w:spacing w:after="0" w:line="250" w:lineRule="auto"/>
        <w:rPr>
          <w:sz w:val="20"/>
          <w:szCs w:val="20"/>
          <w:color w:val="auto"/>
        </w:rPr>
      </w:pPr>
      <w:r>
        <w:rPr>
          <w:rFonts w:ascii="Courier New" w:cs="Courier New" w:eastAsia="Courier New" w:hAnsi="Courier New"/>
          <w:sz w:val="15"/>
          <w:szCs w:val="15"/>
          <w:color w:val="auto"/>
        </w:rPr>
        <w:t>University of California, Berkeley and an M.S. and Ph.D. in Engineering Science from the California Institute of Technology.</w:t>
      </w:r>
    </w:p>
    <w:p>
      <w:pPr>
        <w:spacing w:after="0" w:line="175" w:lineRule="exact"/>
        <w:rPr>
          <w:sz w:val="20"/>
          <w:szCs w:val="20"/>
          <w:color w:val="auto"/>
        </w:rPr>
      </w:pPr>
    </w:p>
    <w:p>
      <w:pPr>
        <w:ind w:left="6" w:right="2899" w:firstLine="458"/>
        <w:spacing w:after="0" w:line="248" w:lineRule="auto"/>
        <w:rPr>
          <w:sz w:val="20"/>
          <w:szCs w:val="20"/>
          <w:color w:val="auto"/>
        </w:rPr>
      </w:pPr>
      <w:r>
        <w:rPr>
          <w:rFonts w:ascii="Courier New" w:cs="Courier New" w:eastAsia="Courier New" w:hAnsi="Courier New"/>
          <w:sz w:val="15"/>
          <w:szCs w:val="15"/>
          <w:color w:val="auto"/>
        </w:rPr>
        <w:t>David M. Shaw has been our Chief Patent Counsel since April 1999. From March 1998 to April 1999, Mr. Shaw was Director of Intellectual Property at EndoVasix, Inc., a medical device company. From 1992 to 1994, he clerked on the United States Court of Appeals for the Federal Circuit for the Honorable R.C. Clevenger, III, and from 1994 to 1998 was an associate with the law firm of Fish</w:t>
      </w:r>
    </w:p>
    <w:p>
      <w:pPr>
        <w:spacing w:after="0" w:line="3" w:lineRule="exact"/>
        <w:rPr>
          <w:sz w:val="20"/>
          <w:szCs w:val="20"/>
          <w:color w:val="auto"/>
        </w:rPr>
      </w:pPr>
    </w:p>
    <w:p>
      <w:pPr>
        <w:ind w:left="6" w:right="3179" w:hanging="6"/>
        <w:spacing w:after="0" w:line="250" w:lineRule="auto"/>
        <w:tabs>
          <w:tab w:leader="none" w:pos="18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Richardson P.C. Mr. Shaw received a B.S. in Chemical Engineering from North Carolina State University and a J.D. from Duke University School of Law.</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Thierry B. Thaure has been our Vice President, Sales and Marketing since May 1997. From January 1993 to April 1997, Mr. Thaure served as Director of International Sales and Marketing for Guidant Corporation's Minimally Invasive System Group. From July 1990 to December 1992, Mr. Thaure held various positions in Marketing and Business Development at Advanced Cardiovascular Systems, Inc., which at that time was a wholly-owned subsidiary of Eli Lilly Inc. He received a B.S. in Biomedical Engineering and a B.A. in Chemistry from Duke University, and an M.B.A. from the Kellogg Graduate School of Business at Northwestern University.</w:t>
      </w:r>
    </w:p>
    <w:p>
      <w:pPr>
        <w:spacing w:after="0" w:line="351" w:lineRule="exact"/>
        <w:rPr>
          <w:sz w:val="20"/>
          <w:szCs w:val="20"/>
          <w:color w:val="auto"/>
        </w:rPr>
      </w:pPr>
    </w:p>
    <w:p>
      <w:pPr>
        <w:ind w:left="6" w:right="3079" w:firstLine="458"/>
        <w:spacing w:after="0" w:line="248" w:lineRule="auto"/>
        <w:rPr>
          <w:sz w:val="20"/>
          <w:szCs w:val="20"/>
          <w:color w:val="auto"/>
        </w:rPr>
      </w:pPr>
      <w:r>
        <w:rPr>
          <w:rFonts w:ascii="Courier New" w:cs="Courier New" w:eastAsia="Courier New" w:hAnsi="Courier New"/>
          <w:sz w:val="15"/>
          <w:szCs w:val="15"/>
          <w:color w:val="auto"/>
        </w:rPr>
        <w:t>Alan C. Mendelson has been our Secretary since our inception and is a senior partner of Cooley Godward LLP. He currently heads the firm's companies and life sciences groups and is a member of its Management Committee. Mr. Mendelson served as Managing Partner of Cooley Godward's Palo Alto office from May 1990 to March 1995 and November 1996 to September 1997. He served as Secretary and Acting General Counsel of Amgen, Inc. from April 1990 to April</w:t>
      </w:r>
    </w:p>
    <w:p>
      <w:pPr>
        <w:spacing w:after="0" w:line="4"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1991 and as Acting General Counsel of Cadence Design Systems, Inc. from November 1995 to June 1996. Mr. Mendelson serves as the secretary of a number of private and public companies and is a member of the board of directors of Aviron, Axys Pharmaceuticals, Inc., Isis Pharmaceuticals, Inc. and US Search.com, Inc. Mr. Mendelson received a A.B. in Political Science from the University of California, Berkeley and a J.D. from Harvard Law School.</w:t>
      </w:r>
    </w:p>
    <w:p>
      <w:pPr>
        <w:spacing w:after="0" w:line="35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Scott S. Halsted has been a member of our board of directors since March 1997. Mr. Halsted joined Morgan Stanley in 1987, and has been a general partner at Morgan Stanley Dean Witter Venture Partners since 1997. Mr. Halsted currently serves as a director of several private healthcare companies. Mr. Halsted received A.B. and B.E. degrees in Biomechanical Engineering from Dartmouth College and an M.M. degree from Northwestern University.</w:t>
      </w:r>
    </w:p>
    <w:p>
      <w:pPr>
        <w:spacing w:after="0" w:line="176"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Russell C. Hirsch, M.D., Ph.D. has been a member our board of directors since December 1995. He joined Mayfield Fund, a venture capital firm, in 1992, and has been a managing member of several venture capital funds affiliated with Mayfield Fund since 1995. From 1984 to 1992, Dr. Hirsch conducted research in the laboratories of Nobel Laureate Harold Varmus, M.D., and Don Ganem, M.D., at the University of California, San Francisco. Dr. Hirsch currently serves on the board of directors of Valentis, Inc., a biotechnology company. Dr. Hirsch received a B.S. in Chemistry from the University of Chicago and an M.D. and a Ph.D. from the University of California, San Francisco.</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Richard J. Kramer has been a member of our board of directors since February 2000. From 1989 to 1999, he served as the President and Chief Executive Officer of Catholic Healthcare West, a multi-state health care provider. From 1982 to 1989, Mr. Kramer was Executive Vice President of Allina Health, an integrated health care system. Mr. Kramer received a B.S. in Rehabilitation Education from Pennsylvania State University, an M.S. in Rehabilitation Counseling from Syracuse University and an M.S. in Hospital &amp; Health Care Administration from the University of Minnesota.</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James A. Lawrence has been a member of our board of directors since March 2000. He has been Executive Vice President and Chief Financial Officer of General Mills, Inc. since 1998. Mr. Lawrence has also held positions as Executive Vice President and Chief Financial Officer for Northwest Airlines, and President and Chief Executive Office of Pepsi-Cola Asia, Middle East,</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5"/>
          </w:cols>
          <w:pgMar w:left="234" w:top="29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55</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Africa. He has also chaired and co-founded LEK Partnership, a corporate strategy and merger/acquisition consulting firm headquartered in London, England. Mr. Lawrence currently serves as a director of TransTechnology Corporation and Avnet, Inc. Mr. Lawrence holds a B.A. in Economics from Yale University and an M.B.A. from Harvard Business School.</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Alan J. Levy, Ph.D. has been a member of our board of directors since February 2000. He has been the President, Chief Executive Officer and member of the board of directors of Vertis Neuroscience, Inc., a biotechnology company, since 1999. From 1993 to 1998, Mr. Levy was the President, Chief Executive Officer and a member of the board of directors of Heartstream, Inc., a medical device company. From 1989 to 1993, Mr. Levy was the President, Chief Operating Officer and a member of the board of directors of Heart Technology, Inc., a medical device company. From 1966 to 1989, Mr. Levy held various positions at Ethicon, a subsidiary of Johnson &amp; Johnson Company, and was a member of the board of directors of Ethicon from 1980 to 1989. Mr. Levy received a B.S. in Chemistry from City College of New York, and a Ph.D. in Organic Chemistry from Purdue University.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Audit committee. Our audit committee currently consists of Messrs. Halsted, Kramer and Lawrence. The audit committee reviews our internal accounting procedures and consults with and reviews the services provided by our independent accountants.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Compensation committee. Our compensation committee currently consists of Dr. Hirsch and Mr. Levy. The compensation committee administers our stock option plans, reviews and approves the compensation and benefits of all our officers and establishes and reviews general policies relating to compensation and benefits of our employees.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Directors currently receive no cash compensation from us for their services as members of the board or for attendance at committee meetings. Directors may be reimbursed for expenses in connection with attendance at board of directors and committee meetings.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consideration for attending our board and committee meetings, in February 2000 we granted each of Messrs. Kramer and Levy, and in March 2000 we granted Mr. Lawrence, options to purchase 20,000 shares of our common stock at $3.00 per share. In April 2000, we authorized the granting of an option to purchase 20,000 shares of our common stock to each of Mr. Halsted and Dr. Hirsch, which are contingent upon, and will be effective concurrently with, the signing of the underwriting agreement relating to this offering and which will have an exercise price equal to the initial public offering price to the public. These options vest in 48 equal monthly installments.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March 2000, we adopted the 2000 Non-Employee Directors' Stock Option Plan to provide for the automatic grant of options to purchase shares of common stock to our non-employee directors who are not employees of Intuitive Surgical or any affiliate of Intuitive Surgical. Any non-employee director elected after the closing of this offering will receive an initial option to purchase 20,000 shares of common stock. Starting at the annual stockholder meeting in 2001, all non-employee directors will receive an annual option to purchase 5,000 shares of common stock. See "-- Employee Benefit Plans -- 2000 Non-Employee Directors' Stock Option Plan" for a more detailed explanation of the terms of these stock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2" w:lineRule="exact"/>
        <w:rPr>
          <w:sz w:val="20"/>
          <w:szCs w:val="20"/>
          <w:color w:val="auto"/>
        </w:rPr>
      </w:pPr>
    </w:p>
    <w:p>
      <w:pPr>
        <w:jc w:val="both"/>
        <w:ind w:right="2899" w:firstLine="458"/>
        <w:spacing w:after="0" w:line="249" w:lineRule="auto"/>
        <w:rPr>
          <w:sz w:val="20"/>
          <w:szCs w:val="20"/>
          <w:color w:val="auto"/>
        </w:rPr>
      </w:pPr>
      <w:r>
        <w:rPr>
          <w:rFonts w:ascii="Courier New" w:cs="Courier New" w:eastAsia="Courier New" w:hAnsi="Courier New"/>
          <w:sz w:val="15"/>
          <w:szCs w:val="15"/>
          <w:color w:val="auto"/>
        </w:rPr>
        <w:t>None of our executive officers serves as a member of the board of directors or compensation committee of any entity that has one or more executive officers serving as a member of our board of</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directors or compensation committee. Investment entities affiliated with Dr. Hirsch have purchased shares of our preferred stock. See "Related Party Transactions" for a detailed explanation of these transactions.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COMPOSITION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currently have seven directors. Upon the closing of this offering the terms of office of the board of directors will be divided into three classes. As a result, a portion of our board of directors will be elected each year. The division of the three classes, the initial directors and their respective election dates are as follows:</w:t>
      </w:r>
    </w:p>
    <w:p>
      <w:pPr>
        <w:spacing w:after="0" w:line="176" w:lineRule="exact"/>
        <w:rPr>
          <w:sz w:val="20"/>
          <w:szCs w:val="20"/>
          <w:color w:val="auto"/>
        </w:rPr>
      </w:pPr>
    </w:p>
    <w:p>
      <w:pPr>
        <w:jc w:val="both"/>
        <w:ind w:left="640" w:right="3259"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 directors will be Messrs. Halsted and Levy and their term will expire at the annual meeting of stockholders to be held in 2001;</w:t>
      </w:r>
    </w:p>
    <w:p>
      <w:pPr>
        <w:spacing w:after="0" w:line="174"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II directors will be Drs. Hirsch and Moll and Mr. Lawrence and their term will expire at the annual meeting of stockholders to be held in 2002; and</w:t>
      </w:r>
    </w:p>
    <w:p>
      <w:pPr>
        <w:spacing w:after="0" w:line="175"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class III directors will be Messrs. Kramer and Smith and their term will expire at the annual meeting of stockholders to be held in 2003.</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each annual meeting of stockholders after the initial classification, the successors to directors whose terms will then expire will be elected to serve from the time of election and qualification until the third annual meeting following election. In addition,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control or management of Intuitive Surgical.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following table sets forth summary information concerning the compensation paid to our chief executive officer and other executive officers for services during the year ended December 31, 1999.</w:t>
      </w:r>
    </w:p>
    <w:p>
      <w:pPr>
        <w:spacing w:after="0" w:line="17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19"/>
          </w:cols>
          <w:pgMar w:left="240" w:top="29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NAME AND PRINCIPAL POSITION</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ANNUAL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0"/>
        <w:spacing w:after="0"/>
        <w:tabs>
          <w:tab w:leader="none" w:pos="1080" w:val="left"/>
        </w:tabs>
        <w:rPr>
          <w:sz w:val="20"/>
          <w:szCs w:val="20"/>
          <w:color w:val="auto"/>
        </w:rPr>
      </w:pP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p>
    <w:p>
      <w:pPr>
        <w:spacing w:after="0" w:line="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LONG TERM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SECURITIES</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UNDERLYING</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OPTIONS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3">
            <w:col w:w="4500" w:space="720"/>
            <w:col w:w="1560" w:space="360"/>
            <w:col w:w="3079"/>
          </w:cols>
          <w:pgMar w:left="240" w:top="29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Lonnie M. Smith........................................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President and Chief Executive Officer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Susan K. Barnes........................................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$191,643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20,000</w:t>
      </w:r>
    </w:p>
    <w:p>
      <w:pPr>
        <w:spacing w:after="0" w:line="6" w:lineRule="exact"/>
        <w:rPr>
          <w:sz w:val="20"/>
          <w:szCs w:val="20"/>
          <w:color w:val="auto"/>
        </w:rPr>
      </w:pPr>
    </w:p>
    <w:p>
      <w:pPr>
        <w:sectPr>
          <w:pgSz w:w="11900" w:h="16838" w:orient="portrait"/>
          <w:cols w:equalWidth="0" w:num="4">
            <w:col w:w="5040" w:space="180"/>
            <w:col w:w="720" w:space="460"/>
            <w:col w:w="300" w:space="720"/>
            <w:col w:w="279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Finance, Chief Financial Officer and</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Assistant Secretary</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Frederic H. Moll, M.D.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$196,643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and Medical Director</w:t>
      </w:r>
    </w:p>
    <w:p>
      <w:pPr>
        <w:sectPr>
          <w:pgSz w:w="11900" w:h="16838" w:orient="portrait"/>
          <w:cols w:equalWidth="0" w:num="1">
            <w:col w:w="10219"/>
          </w:cols>
          <w:pgMar w:left="240" w:top="294"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G. Younge.......................................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$194,965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4">
            <w:col w:w="5040" w:space="180"/>
            <w:col w:w="720" w:space="460"/>
            <w:col w:w="660" w:space="720"/>
            <w:col w:w="2439"/>
          </w:cols>
          <w:pgMar w:left="240" w:top="294" w:right="1440" w:bottom="1440" w:gutter="0" w:footer="0" w:header="0"/>
          <w:type w:val="continuous"/>
        </w:sectPr>
      </w:pPr>
    </w:p>
    <w:p>
      <w:pPr>
        <w:ind w:left="180"/>
        <w:spacing w:after="0"/>
        <w:rPr>
          <w:sz w:val="20"/>
          <w:szCs w:val="20"/>
          <w:color w:val="auto"/>
        </w:rPr>
      </w:pPr>
      <w:r>
        <w:rPr>
          <w:rFonts w:ascii="Courier New" w:cs="Courier New" w:eastAsia="Courier New" w:hAnsi="Courier New"/>
          <w:sz w:val="15"/>
          <w:szCs w:val="15"/>
          <w:color w:val="auto"/>
        </w:rPr>
        <w:t>Vice President and Chief Technology Officer</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4"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82"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5"/>
          <w:szCs w:val="15"/>
          <w:color w:val="auto"/>
        </w:rPr>
        <w:t>OPTION GRANTS IN FISCAL YEAR 1999</w:t>
      </w:r>
    </w:p>
    <w:p>
      <w:pPr>
        <w:spacing w:after="0" w:line="182"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The following table sets forth each grant of stock options during the fiscal year ended December 31, 1999, to each of the individuals listed on the previous table.</w:t>
      </w:r>
    </w:p>
    <w:p>
      <w:pPr>
        <w:spacing w:after="0" w:line="176" w:lineRule="exact"/>
        <w:rPr>
          <w:sz w:val="20"/>
          <w:szCs w:val="20"/>
          <w:color w:val="auto"/>
        </w:rPr>
      </w:pPr>
    </w:p>
    <w:p>
      <w:pPr>
        <w:ind w:right="3300" w:firstLine="458"/>
        <w:spacing w:after="0" w:line="249" w:lineRule="auto"/>
        <w:rPr>
          <w:sz w:val="20"/>
          <w:szCs w:val="20"/>
          <w:color w:val="auto"/>
        </w:rPr>
      </w:pPr>
      <w:r>
        <w:rPr>
          <w:rFonts w:ascii="Courier New" w:cs="Courier New" w:eastAsia="Courier New" w:hAnsi="Courier New"/>
          <w:sz w:val="15"/>
          <w:szCs w:val="15"/>
          <w:color w:val="auto"/>
        </w:rPr>
        <w:t>The exercise price of each option was equal to the fair value of our common stock as valued by the board of directors on the date of grant. The exercise price may be paid in cash, in shares of our common stock valued at fair value on the exercise date or through a cashless exercise procedure involving a same-day sale of the purchased shares.</w:t>
      </w:r>
    </w:p>
    <w:p>
      <w:pPr>
        <w:spacing w:after="0" w:line="352"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The potential realizable value is calculated based on the ten-year term of the option at the time of grant. Stock price appreciation of 5% and 10% is assumed pursuant to rules promulgated by the Securities and Exchange Commission and does not represent our prediction of our stock price performance. The potential realizable values at 5% and 10% appreciation are calculated by:</w:t>
      </w:r>
    </w:p>
    <w:p>
      <w:pPr>
        <w:spacing w:after="0" w:line="200" w:lineRule="exact"/>
        <w:rPr>
          <w:sz w:val="20"/>
          <w:szCs w:val="20"/>
          <w:color w:val="auto"/>
        </w:rPr>
      </w:pPr>
    </w:p>
    <w:p>
      <w:pPr>
        <w:spacing w:after="0" w:line="328" w:lineRule="exact"/>
        <w:rPr>
          <w:sz w:val="20"/>
          <w:szCs w:val="20"/>
          <w:color w:val="auto"/>
        </w:rPr>
      </w:pPr>
    </w:p>
    <w:p>
      <w:pPr>
        <w:ind w:left="640" w:right="3380" w:hanging="188"/>
        <w:spacing w:after="0" w:line="250" w:lineRule="auto"/>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multiplying the number of shares of common stock subject to a given option by the assumed initial public offering price of $12.00 per share;</w:t>
      </w:r>
    </w:p>
    <w:p>
      <w:pPr>
        <w:spacing w:after="0" w:line="350" w:lineRule="exact"/>
        <w:rPr>
          <w:rFonts w:ascii="Courier New" w:cs="Courier New" w:eastAsia="Courier New" w:hAnsi="Courier New"/>
          <w:sz w:val="15"/>
          <w:szCs w:val="15"/>
          <w:color w:val="auto"/>
        </w:rPr>
      </w:pPr>
    </w:p>
    <w:p>
      <w:pPr>
        <w:ind w:left="640" w:right="3660" w:hanging="188"/>
        <w:spacing w:after="0" w:line="249" w:lineRule="auto"/>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that the aggregate stock value derived from that calculation compounds at the annual 5% or 10% rate shown in the table until the expiration of the options; and</w:t>
      </w:r>
    </w:p>
    <w:p>
      <w:pPr>
        <w:spacing w:after="0" w:line="175"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subtracting from that result the aggregate option exercise price.</w:t>
      </w:r>
    </w:p>
    <w:p>
      <w:pPr>
        <w:spacing w:after="0" w:line="182"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The shares listed in the following table under "Number of Securities Underlying Options Granted" are subject to vesting. Upon completion of six months of service from the vesting start date, 12.5% of the option shares vest and the balance vest in a series of equal monthly installments over the next 42 months of service. The option has a ten-year term, subject to earlier termination if the optionee's service with us ceases. See "Employee Benefit Plans" for a description of the material terms of this option.</w:t>
      </w:r>
    </w:p>
    <w:p>
      <w:pPr>
        <w:spacing w:after="0" w:line="352" w:lineRule="exact"/>
        <w:rPr>
          <w:sz w:val="20"/>
          <w:szCs w:val="20"/>
          <w:color w:val="auto"/>
        </w:rPr>
      </w:pPr>
    </w:p>
    <w:p>
      <w:pPr>
        <w:ind w:right="3480" w:firstLine="458"/>
        <w:spacing w:after="0" w:line="249" w:lineRule="auto"/>
        <w:rPr>
          <w:sz w:val="20"/>
          <w:szCs w:val="20"/>
          <w:color w:val="auto"/>
        </w:rPr>
      </w:pPr>
      <w:r>
        <w:rPr>
          <w:rFonts w:ascii="Courier New" w:cs="Courier New" w:eastAsia="Courier New" w:hAnsi="Courier New"/>
          <w:sz w:val="15"/>
          <w:szCs w:val="15"/>
          <w:color w:val="auto"/>
        </w:rPr>
        <w:t>Percentages shown under "Percent of Total Options Granted to Employees in Fiscal Year 1999" are based on an aggregate of 628,550 options granted to employees of Intuitive Surgical under our stock option plans during the fiscal year ended December 31,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POTENTIAL REALIZABLE</w:t>
            </w:r>
          </w:p>
        </w:tc>
      </w:tr>
      <w:tr>
        <w:trPr>
          <w:trHeight w:val="176"/>
        </w:trPr>
        <w:tc>
          <w:tcPr>
            <w:tcW w:w="2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VALUE AT ASSUMED</w:t>
            </w:r>
          </w:p>
        </w:tc>
      </w:tr>
      <w:tr>
        <w:trPr>
          <w:trHeight w:val="176"/>
        </w:trPr>
        <w:tc>
          <w:tcPr>
            <w:tcW w:w="22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INDIVIDUAL GRANTS</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ANNUAL RATES OF</w:t>
            </w:r>
          </w:p>
        </w:tc>
      </w:tr>
      <w:tr>
        <w:trPr>
          <w:trHeight w:val="176"/>
        </w:trPr>
        <w:tc>
          <w:tcPr>
            <w:tcW w:w="2280" w:type="dxa"/>
            <w:vAlign w:val="bottom"/>
          </w:tcPr>
          <w:p>
            <w:pPr>
              <w:spacing w:after="0"/>
              <w:rPr>
                <w:sz w:val="15"/>
                <w:szCs w:val="15"/>
                <w:color w:val="auto"/>
              </w:rPr>
            </w:pPr>
          </w:p>
        </w:tc>
        <w:tc>
          <w:tcPr>
            <w:tcW w:w="3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STOCK PRICE</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NUMBER OF</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PERCENT OF TOTAL</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APPRECIATION FOR</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SECURITIES</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OPTIONS GRANTED TO</w:t>
            </w: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OPTION TERM</w:t>
            </w:r>
          </w:p>
        </w:tc>
      </w:tr>
      <w:tr>
        <w:trPr>
          <w:trHeight w:val="176"/>
        </w:trPr>
        <w:tc>
          <w:tcPr>
            <w:tcW w:w="2280" w:type="dxa"/>
            <w:vAlign w:val="bottom"/>
          </w:tcPr>
          <w:p>
            <w:pPr>
              <w:spacing w:after="0"/>
              <w:rPr>
                <w:sz w:val="15"/>
                <w:szCs w:val="15"/>
                <w:color w:val="auto"/>
              </w:rPr>
            </w:pPr>
          </w:p>
        </w:tc>
        <w:tc>
          <w:tcPr>
            <w:tcW w:w="17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UNDERLYING</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EMPLOYEES IN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EXERCISE PRICE</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EXPIRATION</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NAME</w:t>
            </w:r>
          </w:p>
        </w:tc>
        <w:tc>
          <w:tcPr>
            <w:tcW w:w="17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OPTIONS GRANTED</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FISCAL YEAR 1999</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PER SHARE</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c>
          <w:tcPr>
            <w:tcW w:w="12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w:t>
            </w:r>
          </w:p>
        </w:tc>
        <w:tc>
          <w:tcPr>
            <w:tcW w:w="17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352"/>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Lonnie M. Smith.........</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Susan K. Barnes.........</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20,000</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3.2%</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$3.00</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08/05/09</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$330,935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$562,498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Frederic H. Moll,</w:t>
            </w:r>
          </w:p>
        </w:tc>
        <w:tc>
          <w:tcPr>
            <w:tcW w:w="17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280" w:type="dxa"/>
            <w:vAlign w:val="bottom"/>
          </w:tcPr>
          <w:p>
            <w:pPr>
              <w:ind w:left="180"/>
              <w:spacing w:after="0"/>
              <w:rPr>
                <w:sz w:val="20"/>
                <w:szCs w:val="20"/>
                <w:color w:val="auto"/>
              </w:rPr>
            </w:pPr>
            <w:r>
              <w:rPr>
                <w:rFonts w:ascii="Courier New" w:cs="Courier New" w:eastAsia="Courier New" w:hAnsi="Courier New"/>
                <w:sz w:val="15"/>
                <w:szCs w:val="15"/>
                <w:color w:val="auto"/>
              </w:rPr>
              <w:t>M.D...................</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80" w:type="dxa"/>
            <w:vAlign w:val="bottom"/>
          </w:tcPr>
          <w:p>
            <w:pPr>
              <w:jc w:val="center"/>
              <w:ind w:right="4"/>
              <w:spacing w:after="0"/>
              <w:rPr>
                <w:sz w:val="20"/>
                <w:szCs w:val="20"/>
                <w:color w:val="auto"/>
              </w:rPr>
            </w:pPr>
            <w:r>
              <w:rPr>
                <w:rFonts w:ascii="Courier New" w:cs="Courier New" w:eastAsia="Courier New" w:hAnsi="Courier New"/>
                <w:sz w:val="15"/>
                <w:szCs w:val="15"/>
                <w:color w:val="auto"/>
              </w:rPr>
              <w:t>Robert G. Younge........</w:t>
            </w:r>
          </w:p>
        </w:tc>
        <w:tc>
          <w:tcPr>
            <w:tcW w:w="174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FISCAL YEAR-END OPTION VALUES</w:t>
      </w:r>
    </w:p>
    <w:p>
      <w:pPr>
        <w:spacing w:after="0" w:line="182" w:lineRule="exact"/>
        <w:rPr>
          <w:sz w:val="20"/>
          <w:szCs w:val="20"/>
          <w:color w:val="auto"/>
        </w:rPr>
      </w:pPr>
    </w:p>
    <w:p>
      <w:pPr>
        <w:ind w:right="3480"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number and value of securities underlying unexercised options that are held by each of the individuals listed in the Summary Compensation Table as of December 31, 1999. No shares were acquired on the exercise of stock options by these individuals during the year ended December 31, 1999.</w:t>
      </w:r>
    </w:p>
    <w:p>
      <w:pPr>
        <w:spacing w:after="0" w:line="352" w:lineRule="exact"/>
        <w:rPr>
          <w:sz w:val="20"/>
          <w:szCs w:val="20"/>
          <w:color w:val="auto"/>
        </w:rPr>
      </w:pPr>
    </w:p>
    <w:p>
      <w:pPr>
        <w:ind w:right="3380" w:firstLine="458"/>
        <w:spacing w:after="0" w:line="249" w:lineRule="auto"/>
        <w:rPr>
          <w:sz w:val="20"/>
          <w:szCs w:val="20"/>
          <w:color w:val="auto"/>
        </w:rPr>
      </w:pPr>
      <w:r>
        <w:rPr>
          <w:rFonts w:ascii="Courier New" w:cs="Courier New" w:eastAsia="Courier New" w:hAnsi="Courier New"/>
          <w:sz w:val="15"/>
          <w:szCs w:val="15"/>
          <w:color w:val="auto"/>
        </w:rPr>
        <w:t>Amounts shown under the column "Value of Unexercised In-the-Money Options at December 31, 1999" are based on the assumed initial public offering price of $12.00, without taking into account any taxes that may be payable in connection with the transaction, multiplied by the</w:t>
      </w:r>
    </w:p>
    <w:p>
      <w:pPr>
        <w:sectPr>
          <w:pgSz w:w="11900" w:h="16838" w:orient="portrait"/>
          <w:cols w:equalWidth="0" w:num="1">
            <w:col w:w="10620"/>
          </w:cols>
          <w:pgMar w:left="240" w:top="294" w:right="1039" w:bottom="1010"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620"/>
          </w:cols>
          <w:pgMar w:left="240" w:top="294" w:right="1039" w:bottom="101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58</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number of shares underlying the option, less the exercise price payable for these shares. Our stock option plans allow for the early exercise of options granted to employees. All options exercised early are subject to repurchase by us at the original exercise price, upon the optionee's cessation of service prior to the vesting of the shares.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NUMBER OF SECURITIES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UNDERLYING UNEXERCISED</w:t>
            </w:r>
          </w:p>
        </w:tc>
        <w:tc>
          <w:tcPr>
            <w:tcW w:w="280" w:type="dxa"/>
            <w:vAlign w:val="bottom"/>
          </w:tcPr>
          <w:p>
            <w:pPr>
              <w:spacing w:after="0"/>
              <w:rPr>
                <w:sz w:val="15"/>
                <w:szCs w:val="15"/>
                <w:color w:val="auto"/>
              </w:rPr>
            </w:pPr>
          </w:p>
        </w:tc>
        <w:tc>
          <w:tcPr>
            <w:tcW w:w="24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VALUE OF UNEXERCISED</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OPTIONS AT</w:t>
            </w:r>
          </w:p>
        </w:tc>
        <w:tc>
          <w:tcPr>
            <w:tcW w:w="280" w:type="dxa"/>
            <w:vAlign w:val="bottom"/>
          </w:tcPr>
          <w:p>
            <w:pPr>
              <w:spacing w:after="0"/>
              <w:rPr>
                <w:sz w:val="15"/>
                <w:szCs w:val="15"/>
                <w:color w:val="auto"/>
              </w:rPr>
            </w:pPr>
          </w:p>
        </w:tc>
        <w:tc>
          <w:tcPr>
            <w:tcW w:w="24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IN-THE-MONEY OPTIONS AT</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DECEMBER 31, 1999</w:t>
            </w:r>
          </w:p>
        </w:tc>
        <w:tc>
          <w:tcPr>
            <w:tcW w:w="280" w:type="dxa"/>
            <w:vAlign w:val="bottom"/>
          </w:tcPr>
          <w:p>
            <w:pPr>
              <w:spacing w:after="0"/>
              <w:rPr>
                <w:sz w:val="15"/>
                <w:szCs w:val="15"/>
                <w:color w:val="auto"/>
              </w:rPr>
            </w:pPr>
          </w:p>
        </w:tc>
        <w:tc>
          <w:tcPr>
            <w:tcW w:w="248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DECEMBER 31, 1999</w:t>
            </w:r>
          </w:p>
        </w:tc>
      </w:tr>
      <w:tr>
        <w:trPr>
          <w:trHeight w:val="176"/>
        </w:trPr>
        <w:tc>
          <w:tcPr>
            <w:tcW w:w="3480" w:type="dxa"/>
            <w:vAlign w:val="bottom"/>
          </w:tcPr>
          <w:p>
            <w:pPr>
              <w:spacing w:after="0"/>
              <w:rPr>
                <w:sz w:val="15"/>
                <w:szCs w:val="15"/>
                <w:color w:val="auto"/>
              </w:rPr>
            </w:pPr>
          </w:p>
        </w:tc>
        <w:tc>
          <w:tcPr>
            <w:tcW w:w="2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76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NAME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UNEXERCISABLE</w:t>
            </w:r>
          </w:p>
        </w:tc>
        <w:tc>
          <w:tcPr>
            <w:tcW w:w="1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UNEXERCISABLE</w:t>
            </w:r>
          </w:p>
        </w:tc>
      </w:tr>
      <w:tr>
        <w:trPr>
          <w:trHeight w:val="176"/>
        </w:trPr>
        <w:tc>
          <w:tcPr>
            <w:tcW w:w="348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Lonnie M. Smith.....................</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Susan K. Barnes.....................</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180,000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Frederic H. Moll, M.D. .............</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Robert G. Younge....................</w:t>
            </w: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300,000</w:t>
            </w:r>
          </w:p>
        </w:tc>
        <w:tc>
          <w:tcPr>
            <w:tcW w:w="13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0</w:t>
            </w:r>
          </w:p>
        </w:tc>
        <w:tc>
          <w:tcPr>
            <w:tcW w:w="280" w:type="dxa"/>
            <w:vAlign w:val="bottom"/>
          </w:tcPr>
          <w:p>
            <w:pPr>
              <w:ind w:left="20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3,450,000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ARRANGEMENTS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February 1997, we entered into an agreement with Lonnie M. Smith, our President and Chief Executive Officer, providing that, in the case of involuntary termination other than for cause, his salary and benefits will continue to be paid for a period of one year from the date of termination. Cause as defined in the agreement includes conviction for any felony, participation in a fraud or act of dishonesty against us, willful breach of our policies, or a material breach by Mr. Smith of his employment agreement or of his proprietary information and inventions agreement.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BENEFIT PLANS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Equity Incentive Plan</w:t>
      </w:r>
    </w:p>
    <w:p>
      <w:pPr>
        <w:spacing w:after="0" w:line="359"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We adopted the equity incentive plan in March 2000. The incentive plan is an amendment and restatement of the equity incentive plan we adopted in 1996.</w:t>
      </w:r>
    </w:p>
    <w:p>
      <w:pPr>
        <w:spacing w:after="0" w:line="200" w:lineRule="exact"/>
        <w:rPr>
          <w:sz w:val="20"/>
          <w:szCs w:val="20"/>
          <w:color w:val="auto"/>
        </w:rPr>
      </w:pPr>
    </w:p>
    <w:p>
      <w:pPr>
        <w:spacing w:after="0" w:line="32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Share Reserve. We have reserved 10,000,000 shares for issuance under the incentive plan. For 10 years starting with the year 2001, on the day after each annual meeting of our stockholders, the number of shares in this reserve will automatically increase by the greater of:</w:t>
      </w:r>
    </w:p>
    <w:p>
      <w:pPr>
        <w:spacing w:after="0" w:line="200" w:lineRule="exact"/>
        <w:rPr>
          <w:sz w:val="20"/>
          <w:szCs w:val="20"/>
          <w:color w:val="auto"/>
        </w:rPr>
      </w:pPr>
    </w:p>
    <w:p>
      <w:pPr>
        <w:spacing w:after="0" w:line="328" w:lineRule="exact"/>
        <w:rPr>
          <w:sz w:val="20"/>
          <w:szCs w:val="20"/>
          <w:color w:val="auto"/>
        </w:rPr>
      </w:pPr>
    </w:p>
    <w:p>
      <w:pPr>
        <w:ind w:left="640" w:hanging="188"/>
        <w:spacing w:after="0"/>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of the outstanding common stock on a fully-diluted basis, or</w:t>
      </w:r>
    </w:p>
    <w:p>
      <w:pPr>
        <w:spacing w:after="0" w:line="358"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subject to awards granted under the incentive plan during the previous twelve months.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 more than 20 million shares of the increase to the share reserve over the 10-year period may be used for incentive stock options under the incentive plan. If stock awards granted under the incentive plan expire or otherwise terminate without being exercised, the shares not acquired pursuant to the stock awards again become available for issuance under the incentive plan.</w:t>
      </w:r>
    </w:p>
    <w:p>
      <w:pPr>
        <w:spacing w:after="0" w:line="200" w:lineRule="exact"/>
        <w:rPr>
          <w:sz w:val="20"/>
          <w:szCs w:val="20"/>
          <w:color w:val="auto"/>
        </w:rPr>
      </w:pPr>
    </w:p>
    <w:p>
      <w:pPr>
        <w:spacing w:after="0" w:line="32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dissolve or liquidate, then outstanding stock awards will terminate immediately prior to the event. If we sell, lease or dispose of all, or substantially all, of our assets, or are acquired pursuant to a merger or consolidation, the surviving entity may either assume or substitute all outstanding awards under the incentive plan. If it declines to do so, then generally the vesting and exercisability of the stock awards will accelerate.</w:t>
      </w:r>
    </w:p>
    <w:p>
      <w:pPr>
        <w:spacing w:after="0" w:line="200" w:lineRule="exact"/>
        <w:rPr>
          <w:sz w:val="20"/>
          <w:szCs w:val="20"/>
          <w:color w:val="auto"/>
        </w:rPr>
      </w:pPr>
    </w:p>
    <w:p>
      <w:pPr>
        <w:spacing w:after="0" w:line="32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Options Issued. As of March 31, 2000, we had issued 2,534,778 shares upon the exercise of options under the incentive plan, 313,430 shares of which have been repurchased and 488,115 shares of which are subject to repurchase; options to purchase 1,810,750 shares were outstanding; and 5,494,472 shares, remained available for future grant. As of March 31, 2000, the board has granted</w:t>
      </w:r>
    </w:p>
    <w:p>
      <w:pPr>
        <w:sectPr>
          <w:pgSz w:w="11900" w:h="16838" w:orient="portrait"/>
          <w:cols w:equalWidth="0" w:num="1">
            <w:col w:w="10219"/>
          </w:cols>
          <w:pgMar w:left="240" w:top="294" w:right="1440" w:bottom="658" w:gutter="0" w:footer="0" w:header="0"/>
        </w:sectPr>
      </w:pP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94" w:right="1440" w:bottom="658"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359" w:lineRule="exact"/>
        <w:rPr>
          <w:sz w:val="20"/>
          <w:szCs w:val="20"/>
          <w:color w:val="auto"/>
        </w:rPr>
      </w:pPr>
    </w:p>
    <w:p>
      <w:pPr>
        <w:jc w:val="both"/>
        <w:ind w:right="3259"/>
        <w:spacing w:after="0" w:line="249" w:lineRule="auto"/>
        <w:rPr>
          <w:sz w:val="20"/>
          <w:szCs w:val="20"/>
          <w:color w:val="auto"/>
        </w:rPr>
      </w:pPr>
      <w:r>
        <w:rPr>
          <w:rFonts w:ascii="Courier New" w:cs="Courier New" w:eastAsia="Courier New" w:hAnsi="Courier New"/>
          <w:sz w:val="15"/>
          <w:szCs w:val="15"/>
          <w:color w:val="auto"/>
        </w:rPr>
        <w:t>160,000 restricted stock awards under the incentive plan, no shares of which have been repurchased. The incentive plan will terminate in 2010 unless the board terminates it sooner.</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adopted the non-employee directors' stock option plan in March 2000.</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Share Reserve. We have reserved 300,000 shares of our common stock for issuance pursuant to the non-employee directors' stock option plan. On January 1 of each year for 10 years, starting with the year 2001, the number of shares in the reserve will automatically increase by the greater of:</w:t>
      </w:r>
    </w:p>
    <w:p>
      <w:pPr>
        <w:spacing w:after="0" w:line="352" w:lineRule="exact"/>
        <w:rPr>
          <w:sz w:val="20"/>
          <w:szCs w:val="20"/>
          <w:color w:val="auto"/>
        </w:rPr>
      </w:pPr>
    </w:p>
    <w:p>
      <w:pPr>
        <w:ind w:left="640" w:right="3079" w:hanging="188"/>
        <w:spacing w:after="0" w:line="250"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 of the outstanding shares of common stock on a fully-diluted basis or</w:t>
      </w:r>
    </w:p>
    <w:p>
      <w:pPr>
        <w:spacing w:after="0" w:line="174"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options granted under the plan during the prior 12-month period.</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non-employee directors' stock option plan, each new non-employee director who is subsequently elected or appointed for the first time after this offering will automatically be granted an option to purchase 20,000 shares of common stock. This is the non-employee director's initial grant.</w:t>
      </w:r>
    </w:p>
    <w:p>
      <w:pPr>
        <w:spacing w:after="0" w:line="35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On the day following each annual meeting of our stockholders, beginning in the year 2001, each non-employee director who has been a non-employee director for at least six months will be granted an option to purchase 5,000 shares of common stock. This is the non-employee director's annual grant.</w:t>
      </w:r>
    </w:p>
    <w:p>
      <w:pPr>
        <w:spacing w:after="0" w:line="200" w:lineRule="exact"/>
        <w:rPr>
          <w:sz w:val="20"/>
          <w:szCs w:val="20"/>
          <w:color w:val="auto"/>
        </w:rPr>
      </w:pPr>
    </w:p>
    <w:p>
      <w:pPr>
        <w:spacing w:after="0" w:line="328"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Options granted under the non-employee directors' stock option plan are granted at 100% of the fair market value of the common stock on the date of grant and may be exercised immediately. Options granted under the non-employee directors' stock option plan have a ten-year term and vest as follows: initial grants vest monthly at a rate of 1/36 of the shares each month for 36 months after the date of the grant; annual grants vest as to 1/12 of the shares each month for 12 months after the date of the grant. The non-employee directors' stock option plan will terminate if and when terminated by the board of directors.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sell, lease or dispose of all, or substantially all of our assets, or are acquired pursuant to a merger or acquisition then all outstanding options under the non-employee directors' stock option plan may be assumed by the surviving entity or the surviving entity may substitute similar options for such outstanding options. If the surviving entity determines not to assume such outstanding options or substitute similar options, then generally the vesting of the options shall accelerate and options not exercised prior to the transaction will be terminated. However, if an option is assumed or replaced but the optionholder is not elected to the board of directors of the acquiring or surviving corporation at the first meeting of the board after the event, then the vesting of that option will accelerate by 18 months.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Options Issued. The directors' plan will not be effective until the date of the initial public offering of our common stock. Therefore, we have not issued any options under the directors' plan.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Employee Stock Purchase Plan</w:t>
      </w:r>
    </w:p>
    <w:p>
      <w:pPr>
        <w:spacing w:after="0" w:line="359"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We adopted the employee stock purchase plan in March 2000. The purchase plan has no set termination date. It will terminate when all of the shares reserved under it have been issued unless the board terminates it earlier.</w:t>
      </w:r>
    </w:p>
    <w:p>
      <w:pPr>
        <w:spacing w:after="0" w:line="352"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Share Reserve. We have reserved 1,000,000 shares of our common stock pursuant to purchase rights to be granted to eligible employees under the purchase plan. For 10 years, beginning in 2001,</w:t>
      </w:r>
    </w:p>
    <w:p>
      <w:pPr>
        <w:sectPr>
          <w:pgSz w:w="11900" w:h="16838" w:orient="portrait"/>
          <w:cols w:equalWidth="0" w:num="1">
            <w:col w:w="10219"/>
          </w:cols>
          <w:pgMar w:left="240" w:top="294" w:right="1440" w:bottom="101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94" w:right="1440" w:bottom="101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82"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on the day after each annual meeting of stockholders the number of shares in the reserve will automatically be increased by the greater of:</w:t>
      </w:r>
    </w:p>
    <w:p>
      <w:pPr>
        <w:spacing w:after="0" w:line="175" w:lineRule="exact"/>
        <w:rPr>
          <w:sz w:val="20"/>
          <w:szCs w:val="20"/>
          <w:color w:val="auto"/>
        </w:rPr>
      </w:pPr>
    </w:p>
    <w:p>
      <w:pPr>
        <w:ind w:left="640" w:right="2979" w:hanging="188"/>
        <w:spacing w:after="0" w:line="250" w:lineRule="auto"/>
        <w:tabs>
          <w:tab w:leader="none" w:pos="6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0.5% of our outstanding shares of common stock on a fully-diluted basis, or</w:t>
      </w:r>
    </w:p>
    <w:p>
      <w:pPr>
        <w:spacing w:after="0" w:line="174" w:lineRule="exact"/>
        <w:rPr>
          <w:rFonts w:ascii="Courier New" w:cs="Courier New" w:eastAsia="Courier New" w:hAnsi="Courier New"/>
          <w:sz w:val="15"/>
          <w:szCs w:val="15"/>
          <w:color w:val="auto"/>
        </w:rPr>
      </w:pPr>
    </w:p>
    <w:p>
      <w:pPr>
        <w:ind w:left="640" w:right="3259" w:hanging="188"/>
        <w:spacing w:after="0" w:line="250" w:lineRule="auto"/>
        <w:tabs>
          <w:tab w:leader="none" w:pos="6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number of shares issued under the plan during the prior 12-month period.</w:t>
      </w:r>
    </w:p>
    <w:p>
      <w:pPr>
        <w:spacing w:after="0" w:line="175" w:lineRule="exact"/>
        <w:rPr>
          <w:sz w:val="20"/>
          <w:szCs w:val="20"/>
          <w:color w:val="auto"/>
        </w:rPr>
      </w:pPr>
    </w:p>
    <w:p>
      <w:pPr>
        <w:ind w:right="3539" w:firstLine="458"/>
        <w:spacing w:after="0" w:line="250" w:lineRule="auto"/>
        <w:rPr>
          <w:sz w:val="20"/>
          <w:szCs w:val="20"/>
          <w:color w:val="auto"/>
        </w:rPr>
      </w:pPr>
      <w:r>
        <w:rPr>
          <w:rFonts w:ascii="Courier New" w:cs="Courier New" w:eastAsia="Courier New" w:hAnsi="Courier New"/>
          <w:sz w:val="15"/>
          <w:szCs w:val="15"/>
          <w:color w:val="auto"/>
        </w:rPr>
        <w:t>The automatic share reserve increase in the aggregate may not exceed 10,000,000 shares over the 10-year period.</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Eligibility. The purchase plan is intended to qualify as an employee stock purchase plan within the meaning of Section 423 of the Internal Revenue Code. The purchase plan provides a means by which employees may purchase our common stock through payroll deductions. We implement this purchase plan by offerings of purchase rights to eligible employees. Generally, all employees of Intuitive Surgical and any United States affiliate may participate in the purchase plan, excluding part-time and seasonal employees. However, no employee may participate in the purchase plan if immediately after we grant the employee a purchase right, the employee has voting power over 5% or more of our outstanding capital stock. As of the date of this prospectus, no shares of common stock have been purchased under the purchase plan.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Offerings. Under the purchase plan, the board may specify offerings of up to 27 months. The first offering will begin on the effective date of this initial public offering. Unless the board otherwise determines, our common stock is purchased for accounts of participating employees at a price per share equal to the lower of:</w:t>
      </w:r>
    </w:p>
    <w:p>
      <w:pPr>
        <w:spacing w:after="0" w:line="176" w:lineRule="exact"/>
        <w:rPr>
          <w:sz w:val="20"/>
          <w:szCs w:val="20"/>
          <w:color w:val="auto"/>
        </w:rPr>
      </w:pPr>
    </w:p>
    <w:p>
      <w:pPr>
        <w:ind w:left="640" w:right="2899" w:hanging="188"/>
        <w:spacing w:after="0" w:line="250" w:lineRule="auto"/>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first day of the offering, or</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board may provide that employees who become eligible to participate after the offering period begins nevertheless may enroll in the offering. These employees will purchase our stock at the lower of:</w:t>
      </w:r>
    </w:p>
    <w:p>
      <w:pPr>
        <w:spacing w:after="0" w:line="176" w:lineRule="exact"/>
        <w:rPr>
          <w:sz w:val="20"/>
          <w:szCs w:val="20"/>
          <w:color w:val="auto"/>
        </w:rPr>
      </w:pPr>
    </w:p>
    <w:p>
      <w:pPr>
        <w:ind w:left="640" w:right="3999" w:hanging="188"/>
        <w:spacing w:after="0" w:line="250" w:lineRule="auto"/>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day they began participating in the purchase plan, or</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 of the fair market value of a share on the purchase date.</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Under the current offering, employees may authorize payroll deductions of up to 15% of their total compensation, including sales commissions and bonuses, for the purchase of stock under the purchase plan and may end their participation in the offering at any time up to 10 days before a purchase date. Participation ends automatically on termination of employment with Intuitive Surgical or its affiliate.</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Other Provisions. The board may grant eligible employees purchase rights under the purchase plan only if the purchase rights together with any other purchase rights granted under other employee stock purchase plans established by Intuitive Surgical or its affiliate, if any, do not permit the employee's rights to purchase our stock to accrue at a rate that exceeds $25,000 of the fair market value of our stock for each calendar year in which the purchase rights are outstanding. The board also may limit the number of shares that an employee may purchase on any purchase date.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 of an Acquisition or Merger. If we sell, lease or dispose of all, or substantially all, of our assets, or are acquired pursuant to a merger or acquisition then, the board may provide that the successor corporation will assume or substitute outstanding purchase rights. Alternatively, the board may shorten the offering and provide that shares will be purchased for participants immediately before the transaction.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9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maintain a 401(k) Plan for eligible employees. An employee participant may contribute up to 15% of his or her total annual compensation to the 401(k) Plan, up to a legal annual limit. The annual limit for calendar year 2000 is $10,500. Each participant is fully vested in his or her deferred salary contributions. Participant contributions are held and invested by the 401(k) Plan's trustee. We may make discretionary contributions as a percentage of participant contributions, subject to established limits. To date, we have made no contributions to the 401(k) Plan on behalf of the participants. The 401(k) Plan is intended to qualify under Section 401 of the Internal Revenue Code, so that contributions by employees or by Intuitive Surgical to the 401(k) Plan, and income earned on the 401(k) Plan contributions, are not taxable to employees until withdrawn from the 401(k) Plan, and so that contributions by Intuitive Surgical, if any, will be deductible when made.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 and Indemnification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certificate of incorporation and bylaws provide for the indemnification of our directors from personal liability to the fullest extent not prohibited by Delaware law. Delaware law permits us to eliminate a director's personal liability for monetary damages resulting from a breach of fiduciary duty, except in circumstances involving wrongful acts, including:</w:t>
      </w:r>
    </w:p>
    <w:p>
      <w:pPr>
        <w:spacing w:after="0" w:line="176" w:lineRule="exact"/>
        <w:rPr>
          <w:sz w:val="20"/>
          <w:szCs w:val="20"/>
          <w:color w:val="auto"/>
        </w:rPr>
      </w:pPr>
    </w:p>
    <w:p>
      <w:pPr>
        <w:ind w:left="640" w:right="2899" w:hanging="188"/>
        <w:spacing w:after="0" w:line="250"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Intuitive Surgical or our stockholders;</w:t>
      </w:r>
    </w:p>
    <w:p>
      <w:pPr>
        <w:spacing w:after="0" w:line="174" w:lineRule="exact"/>
        <w:rPr>
          <w:rFonts w:ascii="Courier New" w:cs="Courier New" w:eastAsia="Courier New" w:hAnsi="Courier New"/>
          <w:sz w:val="15"/>
          <w:szCs w:val="15"/>
          <w:color w:val="auto"/>
        </w:rPr>
      </w:pPr>
    </w:p>
    <w:p>
      <w:pPr>
        <w:ind w:left="640" w:right="3359" w:hanging="188"/>
        <w:spacing w:after="0" w:line="250"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acts under Section 174 of the Delaware General Corporation Law; or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derives an improper personal benefit.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Delaware law does not limit or eliminate our rights or any stockholder's rights to seek non-monetary relief including an injunction or rescission, in the event of a breach of a director's fiduciary duty. Delaware law does not alter a director's liability under federal securities laws. In addition, we intend to enter into separate indemnification agreements with our directors and officers that provide each of them indemnification protection in the event our certificate of incorporation and bylaws are subsequently amended. We believe that these provisions and agreements will assist us in attracting and retaining qualified individuals to serve as directors and officers.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94" w:right="1440" w:bottom="1440" w:gutter="0" w:footer="0" w:header="0"/>
        </w:sectPr>
      </w:pPr>
    </w:p>
    <w:bookmarkStart w:id="64" w:name="page65"/>
    <w:bookmarkEnd w:id="64"/>
    <w:p>
      <w:pPr>
        <w:ind w:left="266"/>
        <w:spacing w:after="0"/>
        <w:rPr>
          <w:sz w:val="20"/>
          <w:szCs w:val="20"/>
          <w:color w:val="auto"/>
        </w:rPr>
      </w:pPr>
      <w:r>
        <w:rPr>
          <w:rFonts w:ascii="Courier New" w:cs="Courier New" w:eastAsia="Courier New" w:hAnsi="Courier New"/>
          <w:sz w:val="15"/>
          <w:szCs w:val="15"/>
          <w:color w:val="auto"/>
        </w:rPr>
        <w:t>62</w:t>
      </w:r>
    </w:p>
    <w:p>
      <w:pPr>
        <w:spacing w:after="0" w:line="182"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RELATED PARTY TRANSACTIONS</w:t>
      </w:r>
    </w:p>
    <w:p>
      <w:pPr>
        <w:spacing w:after="0" w:line="182" w:lineRule="exact"/>
        <w:rPr>
          <w:sz w:val="20"/>
          <w:szCs w:val="20"/>
          <w:color w:val="auto"/>
        </w:rPr>
      </w:pPr>
    </w:p>
    <w:p>
      <w:pPr>
        <w:ind w:left="6" w:right="4380" w:firstLine="458"/>
        <w:spacing w:after="0" w:line="249" w:lineRule="auto"/>
        <w:rPr>
          <w:sz w:val="20"/>
          <w:szCs w:val="20"/>
          <w:color w:val="auto"/>
        </w:rPr>
      </w:pPr>
      <w:r>
        <w:rPr>
          <w:rFonts w:ascii="Courier New" w:cs="Courier New" w:eastAsia="Courier New" w:hAnsi="Courier New"/>
          <w:sz w:val="15"/>
          <w:szCs w:val="15"/>
          <w:color w:val="auto"/>
        </w:rPr>
        <w:t>The following executive officers, directors and holders of more than five percent of our securities purchased securities in the amounts and as of the dates shown below.</w:t>
      </w:r>
    </w:p>
    <w:p>
      <w:pPr>
        <w:spacing w:after="0" w:line="200" w:lineRule="exact"/>
        <w:rPr>
          <w:sz w:val="20"/>
          <w:szCs w:val="20"/>
          <w:color w:val="auto"/>
        </w:rPr>
      </w:pPr>
    </w:p>
    <w:p>
      <w:pPr>
        <w:spacing w:after="0" w:line="328"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0" w:type="dxa"/>
            <w:vAlign w:val="bottom"/>
            <w:gridSpan w:val="4"/>
          </w:tcPr>
          <w:p>
            <w:pPr>
              <w:jc w:val="right"/>
              <w:ind w:right="484"/>
              <w:spacing w:after="0"/>
              <w:rPr>
                <w:sz w:val="20"/>
                <w:szCs w:val="20"/>
                <w:color w:val="auto"/>
              </w:rPr>
            </w:pPr>
            <w:r>
              <w:rPr>
                <w:rFonts w:ascii="Courier New" w:cs="Courier New" w:eastAsia="Courier New" w:hAnsi="Courier New"/>
                <w:sz w:val="15"/>
                <w:szCs w:val="15"/>
                <w:color w:val="auto"/>
              </w:rPr>
              <w:t>SHARES OF CONVERTIBLE PREFERRED STOCK</w:t>
            </w:r>
          </w:p>
        </w:tc>
        <w:tc>
          <w:tcPr>
            <w:tcW w:w="108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7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A</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B</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C</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SERIES D</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SERIES E</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SERIES F</w:t>
            </w:r>
          </w:p>
        </w:tc>
      </w:tr>
      <w:tr>
        <w:trPr>
          <w:trHeight w:val="176"/>
        </w:trPr>
        <w:tc>
          <w:tcPr>
            <w:tcW w:w="3300" w:type="dxa"/>
            <w:vAlign w:val="bottom"/>
          </w:tcPr>
          <w:p>
            <w:pPr>
              <w:spacing w:after="0"/>
              <w:rPr>
                <w:sz w:val="15"/>
                <w:szCs w:val="15"/>
                <w:color w:val="auto"/>
              </w:rPr>
            </w:pP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Frederic H. Moll, M.D.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Lonnie M. Smith....................</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Robert G. Younge...................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Russell C. Hirsch, M.D., Ph.D.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ENTITIES AFFILIATED WITH DIRECTORS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Mayfield Fund(1)...................</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355,400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Morgan Stanley Dean Witter Venture</w:t>
            </w: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Partners(2)......................</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5% STOCKHOLDERS</w:t>
            </w: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Sierra Ventures V, L.P.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2,300,000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125,000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Investor (Guernsey) Limited........</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1,250,000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PaTMarK Company, Inc. .............</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37,500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Allan G. Lozier....................</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116,000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312,500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Price per Share....................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$0.001 - $0.05</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$0.10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$9.84</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Date(s) of Purchase................</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11/95 - 1/97</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12/95 - 1/96</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1/96</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1/97 - 3/97</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11/97</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7/98 - 5/99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4380" w:hanging="366"/>
        <w:spacing w:after="0" w:line="248"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Russell C. Hirsch, M.D., Ph.D., one of our directors, is a general partner of Mayfield Fund.</w:t>
      </w:r>
    </w:p>
    <w:p>
      <w:pPr>
        <w:spacing w:after="0" w:line="1" w:lineRule="exact"/>
        <w:rPr>
          <w:rFonts w:ascii="Courier New" w:cs="Courier New" w:eastAsia="Courier New" w:hAnsi="Courier New"/>
          <w:sz w:val="15"/>
          <w:szCs w:val="15"/>
          <w:color w:val="auto"/>
        </w:rPr>
      </w:pPr>
    </w:p>
    <w:p>
      <w:pPr>
        <w:ind w:left="366" w:right="4740" w:hanging="366"/>
        <w:spacing w:after="0" w:line="250" w:lineRule="auto"/>
        <w:tabs>
          <w:tab w:leader="none" w:pos="366"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Scott S. Halsted, one of our directors, is a general partner of Morgan Stanley Dean Witter Venture Partners.</w:t>
      </w:r>
    </w:p>
    <w:p>
      <w:pPr>
        <w:spacing w:after="0" w:line="175" w:lineRule="exact"/>
        <w:rPr>
          <w:sz w:val="20"/>
          <w:szCs w:val="20"/>
          <w:color w:val="auto"/>
        </w:rPr>
      </w:pPr>
    </w:p>
    <w:p>
      <w:pPr>
        <w:ind w:left="6" w:right="4280" w:firstLine="458"/>
        <w:spacing w:after="0" w:line="250" w:lineRule="auto"/>
        <w:rPr>
          <w:sz w:val="20"/>
          <w:szCs w:val="20"/>
          <w:color w:val="auto"/>
        </w:rPr>
      </w:pPr>
      <w:r>
        <w:rPr>
          <w:rFonts w:ascii="Courier New" w:cs="Courier New" w:eastAsia="Courier New" w:hAnsi="Courier New"/>
          <w:sz w:val="15"/>
          <w:szCs w:val="15"/>
          <w:color w:val="auto"/>
        </w:rPr>
        <w:t>We have entered into the following agreements with our executive officers, directors, and holders of more than five percent of our voting securities.</w:t>
      </w:r>
    </w:p>
    <w:p>
      <w:pPr>
        <w:spacing w:after="0" w:line="175" w:lineRule="exact"/>
        <w:rPr>
          <w:sz w:val="20"/>
          <w:szCs w:val="20"/>
          <w:color w:val="auto"/>
        </w:rPr>
      </w:pPr>
    </w:p>
    <w:p>
      <w:pPr>
        <w:ind w:left="6" w:right="4280" w:firstLine="458"/>
        <w:spacing w:after="0" w:line="249" w:lineRule="auto"/>
        <w:rPr>
          <w:sz w:val="20"/>
          <w:szCs w:val="20"/>
          <w:color w:val="auto"/>
        </w:rPr>
      </w:pPr>
      <w:r>
        <w:rPr>
          <w:rFonts w:ascii="Courier New" w:cs="Courier New" w:eastAsia="Courier New" w:hAnsi="Courier New"/>
          <w:sz w:val="15"/>
          <w:szCs w:val="15"/>
          <w:color w:val="auto"/>
        </w:rPr>
        <w:t>Investor Rights Agreement. Intuitive Surgical and the preferred stockholders described above have entered into an agreement pursuant to which these and other preferred stockholders will have registration rights with respect to their shares of common stock following this offering. Upon the completion of this offering, all shares of our outstanding preferred stock will be automatically converted into an equal number of shares of common stock. For further information on these registration rights, see "Description of Capital Stock -- Registration Rights of Stockholders."</w:t>
      </w:r>
    </w:p>
    <w:p>
      <w:pPr>
        <w:spacing w:after="0" w:line="352"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Stock Options. We have granted Messrs. Kramer, Lawrence and Levy options to purchase common stock in connection with their services as our directors. We have authorized the granting of options to purchase common stock to Mr. Halsted and Dr. Hirsch in connection with their services as our directors. See "Management -- Director Compensation" for a description of these stock option grants.</w:t>
      </w:r>
    </w:p>
    <w:p>
      <w:pPr>
        <w:spacing w:after="0" w:line="200" w:lineRule="exact"/>
        <w:rPr>
          <w:sz w:val="20"/>
          <w:szCs w:val="20"/>
          <w:color w:val="auto"/>
        </w:rPr>
      </w:pPr>
    </w:p>
    <w:p>
      <w:pPr>
        <w:spacing w:after="0" w:line="328" w:lineRule="exact"/>
        <w:rPr>
          <w:sz w:val="20"/>
          <w:szCs w:val="20"/>
          <w:color w:val="auto"/>
        </w:rPr>
      </w:pPr>
    </w:p>
    <w:p>
      <w:pPr>
        <w:ind w:left="6" w:right="4380" w:firstLine="458"/>
        <w:spacing w:after="0" w:line="249" w:lineRule="auto"/>
        <w:rPr>
          <w:sz w:val="20"/>
          <w:szCs w:val="20"/>
          <w:color w:val="auto"/>
        </w:rPr>
      </w:pPr>
      <w:r>
        <w:rPr>
          <w:rFonts w:ascii="Courier New" w:cs="Courier New" w:eastAsia="Courier New" w:hAnsi="Courier New"/>
          <w:sz w:val="15"/>
          <w:szCs w:val="15"/>
          <w:color w:val="auto"/>
        </w:rPr>
        <w:t>Executive Employment Agreement. We have entered into an employment agreement with Lonnie M. Smith, our President and Chief Executive Officer. See "Management -- Employment Arrangements" for a description of this agreement.</w:t>
      </w:r>
    </w:p>
    <w:p>
      <w:pPr>
        <w:spacing w:after="0" w:line="176"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We believe that all of the transactions set forth above were made on terms no less favorable to Intuitive Surgical than could have been obtained from unaffiliated third parties. All future transactions, including loans, between Intuitive Surgical and our officers, directors, principal stockholders and their affiliates will be approved by a majority of the board of directors, including a majority of the independent and disinterested directors, and will continue to be on terms no less favorable to Intuitive Surgical than could be obtained from unaffiliated third parties.</w:t>
      </w:r>
    </w:p>
    <w:p>
      <w:pPr>
        <w:spacing w:after="0" w:line="175" w:lineRule="exact"/>
        <w:rPr>
          <w:sz w:val="20"/>
          <w:szCs w:val="20"/>
          <w:color w:val="auto"/>
        </w:rPr>
      </w:pPr>
    </w:p>
    <w:p>
      <w:pPr>
        <w:ind w:left="6" w:right="4200" w:firstLine="458"/>
        <w:spacing w:after="0" w:line="249" w:lineRule="auto"/>
        <w:rPr>
          <w:sz w:val="20"/>
          <w:szCs w:val="20"/>
          <w:color w:val="auto"/>
        </w:rPr>
      </w:pPr>
      <w:r>
        <w:rPr>
          <w:rFonts w:ascii="Courier New" w:cs="Courier New" w:eastAsia="Courier New" w:hAnsi="Courier New"/>
          <w:sz w:val="15"/>
          <w:szCs w:val="15"/>
          <w:color w:val="auto"/>
        </w:rPr>
        <w:t>Indemnification Agreements. We intend to enter into indemnification agreements with our directors and officers for the indemnification of and advancement of expenses to these persons to the full extent permitted by law. We also intend to execute such agreements with our future directors and officers.</w:t>
      </w:r>
    </w:p>
    <w:p>
      <w:pPr>
        <w:sectPr>
          <w:pgSz w:w="11900" w:h="16838" w:orient="portrait"/>
          <w:cols w:equalWidth="0" w:num="1">
            <w:col w:w="11526"/>
          </w:cols>
          <w:pgMar w:left="234" w:top="294" w:right="139" w:bottom="1440" w:gutter="0" w:footer="0" w:header="0"/>
        </w:sectPr>
      </w:pP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1526"/>
          </w:cols>
          <w:pgMar w:left="234" w:top="294" w:right="139"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PRINCIPAL STOCKHOLDERS</w:t>
      </w:r>
    </w:p>
    <w:p>
      <w:pPr>
        <w:spacing w:after="0" w:line="359"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common stock as of March 31, 2000, and as adjusted to reflect the sale of our common stock offered by this prospectus, by:</w:t>
      </w:r>
    </w:p>
    <w:p>
      <w:pPr>
        <w:spacing w:after="0" w:line="352" w:lineRule="exact"/>
        <w:rPr>
          <w:sz w:val="20"/>
          <w:szCs w:val="20"/>
          <w:color w:val="auto"/>
        </w:rPr>
      </w:pPr>
    </w:p>
    <w:p>
      <w:pPr>
        <w:ind w:left="640" w:right="3860" w:hanging="188"/>
        <w:spacing w:after="0" w:line="250" w:lineRule="auto"/>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who is known by us to own beneficially 5% or more of our common stock;</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individuals listed on the "Summary Compensation Table" above;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359"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In computing the number of shares beneficially owned by a person and the percentage ownership of that person, shares of common stock subject to options held by that person that are currently exercisable or exercisable within 60 days of March 31, 2000 are deemed outstanding. These shares, however, are not deemed outstanding for the purposes of computing the percentage ownership of each other person.</w:t>
      </w:r>
    </w:p>
    <w:p>
      <w:pPr>
        <w:spacing w:after="0" w:line="200" w:lineRule="exact"/>
        <w:rPr>
          <w:sz w:val="20"/>
          <w:szCs w:val="20"/>
          <w:color w:val="auto"/>
        </w:rPr>
      </w:pPr>
    </w:p>
    <w:p>
      <w:pPr>
        <w:spacing w:after="0" w:line="328" w:lineRule="exact"/>
        <w:rPr>
          <w:sz w:val="20"/>
          <w:szCs w:val="20"/>
          <w:color w:val="auto"/>
        </w:rPr>
      </w:pPr>
    </w:p>
    <w:p>
      <w:pPr>
        <w:ind w:right="3580" w:firstLine="458"/>
        <w:spacing w:after="0" w:line="249" w:lineRule="auto"/>
        <w:rPr>
          <w:sz w:val="20"/>
          <w:szCs w:val="20"/>
          <w:color w:val="auto"/>
        </w:rPr>
      </w:pPr>
      <w:r>
        <w:rPr>
          <w:rFonts w:ascii="Courier New" w:cs="Courier New" w:eastAsia="Courier New" w:hAnsi="Courier New"/>
          <w:sz w:val="15"/>
          <w:szCs w:val="15"/>
          <w:color w:val="auto"/>
        </w:rPr>
        <w:t>Except as indicated in the footnotes to this table and pursuant to applicable community property laws, each stockholder named in the table has sole voting and investment power with respect to the shares shown as beneficially owned by them. Percentage of ownership is based on 29,429,264 shares of common stock outstanding on March 31, 2000 and 37,429,264 shares of common stock outstanding after completion of this offering. This table assumes no exercise of the underwriters' over-allotment option. Unless otherwise indicated in the footnotes, the address of each of the individuals and entities named below is: c/o Intuitive Surgical, Inc., 1340 W. Middlefield Road, Mountain View, CA 94043.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380" w:type="dxa"/>
            <w:vAlign w:val="bottom"/>
          </w:tcPr>
          <w:p>
            <w:pPr>
              <w:ind w:left="240"/>
              <w:spacing w:after="0"/>
              <w:rPr>
                <w:sz w:val="20"/>
                <w:szCs w:val="20"/>
                <w:color w:val="auto"/>
              </w:rPr>
            </w:pPr>
            <w:r>
              <w:rPr>
                <w:rFonts w:ascii="Courier New" w:cs="Courier New" w:eastAsia="Courier New" w:hAnsi="Courier New"/>
                <w:sz w:val="15"/>
                <w:szCs w:val="15"/>
                <w:color w:val="auto"/>
              </w:rPr>
              <w:t>SHARES OF</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SHARES SUBJECT TO</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SHARES ISSUABLE</w:t>
            </w:r>
          </w:p>
        </w:tc>
        <w:tc>
          <w:tcPr>
            <w:tcW w:w="21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PERCENT OF</w:t>
            </w:r>
          </w:p>
        </w:tc>
      </w:tr>
      <w:tr>
        <w:trPr>
          <w:trHeight w:val="176"/>
        </w:trPr>
        <w:tc>
          <w:tcPr>
            <w:tcW w:w="344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5"/>
                <w:szCs w:val="15"/>
                <w:color w:val="auto"/>
              </w:rPr>
              <w:t>COMMON</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A RIGHT OF</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PURSUANT TO OPTIONS</w:t>
            </w:r>
          </w:p>
        </w:tc>
        <w:tc>
          <w:tcPr>
            <w:tcW w:w="21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OUTSTANDING SHARES</w:t>
            </w:r>
          </w:p>
        </w:tc>
      </w:tr>
      <w:tr>
        <w:trPr>
          <w:trHeight w:val="176"/>
        </w:trPr>
        <w:tc>
          <w:tcPr>
            <w:tcW w:w="3440" w:type="dxa"/>
            <w:vAlign w:val="bottom"/>
          </w:tcPr>
          <w:p>
            <w:pPr>
              <w:spacing w:after="0"/>
              <w:rPr>
                <w:sz w:val="15"/>
                <w:szCs w:val="15"/>
                <w:color w:val="auto"/>
              </w:rPr>
            </w:pPr>
          </w:p>
        </w:tc>
        <w:tc>
          <w:tcPr>
            <w:tcW w:w="1380" w:type="dxa"/>
            <w:vAlign w:val="bottom"/>
          </w:tcPr>
          <w:p>
            <w:pPr>
              <w:ind w:left="420"/>
              <w:spacing w:after="0"/>
              <w:rPr>
                <w:sz w:val="20"/>
                <w:szCs w:val="20"/>
                <w:color w:val="auto"/>
              </w:rPr>
            </w:pPr>
            <w:r>
              <w:rPr>
                <w:rFonts w:ascii="Courier New" w:cs="Courier New" w:eastAsia="Courier New" w:hAnsi="Courier New"/>
                <w:sz w:val="15"/>
                <w:szCs w:val="15"/>
                <w:color w:val="auto"/>
              </w:rPr>
              <w:t>STOCK</w:t>
            </w:r>
          </w:p>
        </w:tc>
        <w:tc>
          <w:tcPr>
            <w:tcW w:w="1820" w:type="dxa"/>
            <w:vAlign w:val="bottom"/>
          </w:tcPr>
          <w:p>
            <w:pPr>
              <w:ind w:left="400"/>
              <w:spacing w:after="0"/>
              <w:rPr>
                <w:sz w:val="20"/>
                <w:szCs w:val="20"/>
                <w:color w:val="auto"/>
              </w:rPr>
            </w:pPr>
            <w:r>
              <w:rPr>
                <w:rFonts w:ascii="Courier New" w:cs="Courier New" w:eastAsia="Courier New" w:hAnsi="Courier New"/>
                <w:sz w:val="15"/>
                <w:szCs w:val="15"/>
                <w:color w:val="auto"/>
              </w:rPr>
              <w:t>REPURCHASE</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EXERCISABLE WITHIN</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40" w:type="dxa"/>
            <w:vAlign w:val="bottom"/>
          </w:tcPr>
          <w:p>
            <w:pPr>
              <w:spacing w:after="0"/>
              <w:rPr>
                <w:sz w:val="15"/>
                <w:szCs w:val="15"/>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BENEFICIALLY</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WITHIN 60 DAYS OF</w:t>
            </w:r>
          </w:p>
        </w:tc>
        <w:tc>
          <w:tcPr>
            <w:tcW w:w="2020" w:type="dxa"/>
            <w:vAlign w:val="bottom"/>
          </w:tcPr>
          <w:p>
            <w:pPr>
              <w:ind w:left="520"/>
              <w:spacing w:after="0"/>
              <w:rPr>
                <w:sz w:val="20"/>
                <w:szCs w:val="20"/>
                <w:color w:val="auto"/>
              </w:rPr>
            </w:pPr>
            <w:r>
              <w:rPr>
                <w:rFonts w:ascii="Courier New" w:cs="Courier New" w:eastAsia="Courier New" w:hAnsi="Courier New"/>
                <w:sz w:val="15"/>
                <w:szCs w:val="15"/>
                <w:color w:val="auto"/>
              </w:rPr>
              <w:t>60 DAYS OF</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BEFORE THE</w:t>
            </w:r>
          </w:p>
        </w:tc>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AFTER THE</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w:t>
            </w: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rPr>
              <w:t>OWNED(1)</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MARCH 31, 2000(2)</w:t>
            </w:r>
          </w:p>
        </w:tc>
        <w:tc>
          <w:tcPr>
            <w:tcW w:w="2020" w:type="dxa"/>
            <w:vAlign w:val="bottom"/>
          </w:tcPr>
          <w:p>
            <w:pPr>
              <w:ind w:left="320"/>
              <w:spacing w:after="0"/>
              <w:rPr>
                <w:sz w:val="20"/>
                <w:szCs w:val="20"/>
                <w:color w:val="auto"/>
              </w:rPr>
            </w:pPr>
            <w:r>
              <w:rPr>
                <w:rFonts w:ascii="Courier New" w:cs="Courier New" w:eastAsia="Courier New" w:hAnsi="Courier New"/>
                <w:sz w:val="15"/>
                <w:szCs w:val="15"/>
                <w:color w:val="auto"/>
              </w:rPr>
              <w:t>MARCH 31, 2000</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w w:val="99"/>
              </w:rPr>
              <w:t>OFFERING</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3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20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Entities affiliated with Mayfield</w:t>
            </w: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Fund(3).............................</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4,521,150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Sierra Ventures V, L.P.(4)............</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10.7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Investor (Guernsey) Limited(5)........</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2,500,000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8.5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PatMarK Company, Inc.(6)..............</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2,287,500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7.8</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Allan G. Lozier(7)....................</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1,941,000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Entities affiliated with Morgan</w:t>
            </w: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Stanley</w:t>
            </w: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Dean Witter Venture Partners(8).....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Russell C. Hirsch, M.D., Ph.D.(9).....</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4,533,650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Scott S. Halsted(8)...................</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1,750,000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5.9</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Frederic H. Moll, M.D. ...............</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5.1</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Robert G. Younge(10)..................</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1,298,000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Lonnie M. Smith(11)...................</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1,000,000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296,667</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3.4</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Susan K. Barnes.......................</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225,000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50,000</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25,000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Richard J. Kramer.....................</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James A. Lawrence.....................</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Alan J. Levy, Ph.D. ..................</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20,000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20,000</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as a group (9 persons)..............</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10,366,650</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636,667</w:t>
            </w:r>
          </w:p>
        </w:tc>
        <w:tc>
          <w:tcPr>
            <w:tcW w:w="18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385,000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34.8%</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r>
    </w:tbl>
    <w:p>
      <w:pPr>
        <w:spacing w:after="0" w:line="200" w:lineRule="exact"/>
        <w:rPr>
          <w:sz w:val="20"/>
          <w:szCs w:val="20"/>
          <w:color w:val="auto"/>
        </w:rPr>
      </w:pPr>
    </w:p>
    <w:p>
      <w:pPr>
        <w:sectPr>
          <w:pgSz w:w="11900" w:h="16838" w:orient="portrait"/>
          <w:cols w:equalWidth="0" w:num="1">
            <w:col w:w="10900"/>
          </w:cols>
          <w:pgMar w:left="240" w:top="294" w:right="759" w:bottom="1440" w:gutter="0" w:footer="0" w:header="0"/>
        </w:sectPr>
      </w:pPr>
    </w:p>
    <w:p>
      <w:pPr>
        <w:spacing w:after="0" w:line="3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900"/>
          </w:cols>
          <w:pgMar w:left="240" w:top="294" w:right="759" w:bottom="1440" w:gutter="0" w:footer="0" w:header="0"/>
          <w:type w:val="continuous"/>
        </w:sectPr>
      </w:pPr>
    </w:p>
    <w:bookmarkStart w:id="66" w:name="page67"/>
    <w:bookmarkEnd w:id="66"/>
    <w:p>
      <w:pPr>
        <w:ind w:left="266"/>
        <w:spacing w:after="0"/>
        <w:rPr>
          <w:sz w:val="20"/>
          <w:szCs w:val="20"/>
          <w:color w:val="auto"/>
        </w:rPr>
      </w:pPr>
      <w:r>
        <w:rPr>
          <w:rFonts w:ascii="Courier New" w:cs="Courier New" w:eastAsia="Courier New" w:hAnsi="Courier New"/>
          <w:sz w:val="15"/>
          <w:szCs w:val="15"/>
          <w:color w:val="auto"/>
        </w:rPr>
        <w:t>64</w:t>
      </w:r>
    </w:p>
    <w:p>
      <w:pPr>
        <w:spacing w:after="0" w:line="182" w:lineRule="exact"/>
        <w:rPr>
          <w:sz w:val="20"/>
          <w:szCs w:val="20"/>
          <w:color w:val="auto"/>
        </w:rPr>
      </w:pPr>
    </w:p>
    <w:p>
      <w:pPr>
        <w:ind w:left="186" w:hanging="186"/>
        <w:spacing w:after="0"/>
        <w:tabs>
          <w:tab w:leader="none" w:pos="186"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359" w:lineRule="exact"/>
        <w:rPr>
          <w:sz w:val="20"/>
          <w:szCs w:val="20"/>
          <w:color w:val="auto"/>
        </w:rPr>
      </w:pPr>
    </w:p>
    <w:p>
      <w:pPr>
        <w:jc w:val="both"/>
        <w:ind w:left="466" w:right="2979" w:hanging="374"/>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of common stock subject to a right of repurchase within 60 days of March 31, 2000 and shares issuable pursuant to options exercisable within 60 days of March 31, 2000.</w:t>
      </w:r>
    </w:p>
    <w:p>
      <w:pPr>
        <w:spacing w:after="0" w:line="352" w:lineRule="exact"/>
        <w:rPr>
          <w:rFonts w:ascii="Courier New" w:cs="Courier New" w:eastAsia="Courier New" w:hAnsi="Courier New"/>
          <w:sz w:val="15"/>
          <w:szCs w:val="15"/>
          <w:color w:val="auto"/>
        </w:rPr>
      </w:pPr>
    </w:p>
    <w:p>
      <w:pPr>
        <w:ind w:left="466" w:right="2899" w:hanging="374"/>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unvested portion of the shares of common stock is subject to a right of repurchase, at the original option exercise price, in the event the holder ceases to provide services to Intuitive Surgical. The option exercise prices range from $0.001 to $0.50.</w:t>
      </w:r>
    </w:p>
    <w:p>
      <w:pPr>
        <w:spacing w:after="0" w:line="351" w:lineRule="exact"/>
        <w:rPr>
          <w:rFonts w:ascii="Courier New" w:cs="Courier New" w:eastAsia="Courier New" w:hAnsi="Courier New"/>
          <w:sz w:val="15"/>
          <w:szCs w:val="15"/>
          <w:color w:val="auto"/>
        </w:rPr>
      </w:pPr>
    </w:p>
    <w:p>
      <w:pPr>
        <w:ind w:left="466" w:right="3079" w:hanging="374"/>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 4,194,630 shares held by Mayfield VIII, (b) 220,770 shares held by Mayfield Associates Fund II, and (c) 105,750 shares held by OR Trust. Dr. Hirsch, a director of Intuitive Surgical, is a managing member of the general partner of Mayfield VIII. Dr. Hirsch disclaims beneficial ownership of shares held by such entities except to the extent of his proportionate partnership interest therein. Mayfield Fund is located at 2800 Sand Hill Road, Suite 250, Menlo Park, California 94025.</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466" w:right="3359" w:hanging="374"/>
        <w:spacing w:after="0" w:line="250"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Sierra Ventures V, L.P. is located at 3000 Sand Hill Road, Building 4, Suite 210, Menlo Park, California 94025.</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466" w:right="2979" w:hanging="374"/>
        <w:spacing w:after="0" w:line="250"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Investor (Guernsey) Limited is located at PO Box 626, National Westminster House, Le Tuchot St. Peter Port, Guernsey Channel Islands, GY 1 4PW.</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466" w:hanging="374"/>
        <w:spacing w:after="0"/>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PaTMarK is located at 700 State Route, 46 East, Batesville, IN 47006.</w:t>
      </w:r>
    </w:p>
    <w:p>
      <w:pPr>
        <w:spacing w:after="0" w:line="200" w:lineRule="exact"/>
        <w:rPr>
          <w:rFonts w:ascii="Courier New" w:cs="Courier New" w:eastAsia="Courier New" w:hAnsi="Courier New"/>
          <w:sz w:val="15"/>
          <w:szCs w:val="15"/>
          <w:color w:val="auto"/>
        </w:rPr>
      </w:pPr>
    </w:p>
    <w:p>
      <w:pPr>
        <w:spacing w:after="0" w:line="334" w:lineRule="exact"/>
        <w:rPr>
          <w:rFonts w:ascii="Courier New" w:cs="Courier New" w:eastAsia="Courier New" w:hAnsi="Courier New"/>
          <w:sz w:val="15"/>
          <w:szCs w:val="15"/>
          <w:color w:val="auto"/>
        </w:rPr>
      </w:pPr>
    </w:p>
    <w:p>
      <w:pPr>
        <w:ind w:left="466" w:right="2899" w:hanging="374"/>
        <w:spacing w:after="0" w:line="250"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Lozier's address is c/o Lozier Corporation, 6226 Pershing Drive, Omaha, Nebraska 67810.</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466" w:right="2899" w:hanging="374"/>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1,596,700 shares held by Morgan Stanley Venture Partners III, L.P. and 153,330 shares held by Morgan Stanley Venture Investors III, L.P. Mr. Halsted, a director of Intuitive Surgical, is a general partner of the general partner of such entities. Mr. Halsted disclaims beneficial ownership of shares held by such entities except to the extent of his proportionate partnership interest therein. Morgan Stanley Dean Witter Ventures Partners is located at 3000 Sand Hill Road, Building 4, Suite 210, Menlo Park, California 94025.</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466" w:right="3079" w:hanging="374"/>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4,194,630 shares held by Mayfield VIII, (b) 220,770 shares held by Mayfield Associates Fund II, and (c) 105,750 shares held by OR Trust. Dr. Hirsch, a director of Intuitive Surgical, is a managing member of the general partner of Mayfield VIII. Dr. Hirsch disclaims beneficial ownership of shares held by such entities except to the extent of his proportionate partnership interest therein.</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 shares held by Diane Lauren Sotos, Trustee of the Younge Irrevocable Trust fbo Ellen Sotos McCoy dated June 25, 1996 and 3,000 shares held by Arthur G. Closson, Custodian fbo Eric Roy Younge, under the CUTMA, to age 21. Mr. Younge disclaims beneficial ownership of the shares held for the benefit of Ellen Sotos McCoy and Eric Roy Younge.</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200,000 shares held by McKRAM Investors, L.P. Mr. Smith, a partner of McKRAM, disclaims beneficial ownership of shares held by such entity except to the extent of his proportionate partnership interest therein.</w:t>
      </w:r>
    </w:p>
    <w:p>
      <w:pPr>
        <w:sectPr>
          <w:pgSz w:w="11900" w:h="16838" w:orient="portrait"/>
          <w:cols w:equalWidth="0" w:num="1">
            <w:col w:w="10225"/>
          </w:cols>
          <w:pgMar w:left="234" w:top="294" w:right="1440" w:bottom="1440" w:gutter="0" w:footer="0" w:header="0"/>
        </w:sectPr>
      </w:pP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5"/>
          </w:cols>
          <w:pgMar w:left="234" w:top="294"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65</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DESCRIPTION OF CAPITAL STOCK</w:t>
      </w:r>
    </w:p>
    <w:p>
      <w:pPr>
        <w:spacing w:after="0" w:line="182" w:lineRule="exact"/>
        <w:rPr>
          <w:sz w:val="20"/>
          <w:szCs w:val="20"/>
          <w:color w:val="auto"/>
        </w:rPr>
      </w:pPr>
    </w:p>
    <w:p>
      <w:pPr>
        <w:jc w:val="both"/>
        <w:ind w:right="3539" w:firstLine="458"/>
        <w:spacing w:after="0" w:line="249" w:lineRule="auto"/>
        <w:rPr>
          <w:sz w:val="20"/>
          <w:szCs w:val="20"/>
          <w:color w:val="auto"/>
        </w:rPr>
      </w:pPr>
      <w:r>
        <w:rPr>
          <w:rFonts w:ascii="Courier New" w:cs="Courier New" w:eastAsia="Courier New" w:hAnsi="Courier New"/>
          <w:sz w:val="15"/>
          <w:szCs w:val="15"/>
          <w:color w:val="auto"/>
        </w:rPr>
        <w:t>Upon the closing of this offering, our authorized capital stock will consist of 200 million shares of common stock, $0.001 par value, and five million shares of preferred stock, $0.001 par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March 31, 2000, there were 29,429,264 shares of common stock outstanding that were held of record by approximately 213 stockholders after giving effect to the conversion of our preferred stock into common stock at a one-to-one ratio. There will be 37,429,264 shares of common stock outstanding, assuming no exercise of the underwriters' over-allotment option and no exercise of outstanding options and warrants, after giving effect to the sale of the shares of common stock offered by this prospectus.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holders of common stock are entitled to one vote per share on all matters submitted to a vote of our stockholders. Subject to preferences that may be applicable to any preferred stock outstanding at the time, the holders of outstanding shares of common stock are entitled to receive ratably any dividends out of assets legally available therefor as our board of directors may from time to time determine. Upon liquidation, dissolution or winding up of Intuitive Surgical,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Our certificate of incorporation provides that our board of directors will have the authority, without further action by the stockholders, to issue up to five million shares of preferred stock in one or more series. The board will be able to fix the rights, preferences, privileges and restrictions of the preferred stock, including dividend rights, conversion rights, voting rights, terms of redemption, liquidation preferences, sinking fund terms and the number of shares constituting any series or the designation of this series. The issuance of preferred stock could adversely affect the voting power of holders of common stock, and the likelihood that holders of preferred stock will receive dividend payments and payments upon liquidation may have the effect of delaying, deferring or preventing a change in control of Intuitive Surgical, which could depress the market price of our common stock. We have no present plan to issue any shares of preferred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of March 31, 2000, a warrant to purchase 11,000 shares of common stock was outstanding at an exercise price of $5.00 per share. This warrant expires on April 15, 2003. In April 2000, we issued a warrant to purchase 200,000 shares of common stock at an exercise price of $3.00 per share. This warrant expires in May 2005.</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OF STOCKHOLDERS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the holders of 22,764,084 shares of our common stock and a warrant to purchase 200,000 shares of our common stock, or their transferees, will be entitled to rights to register these shares under the Securities Act of 1933. If we propose to register any of our securities under the Securities Act, either for our own account or for the account of other security holders, the holders of these shares will be entitled to notice of the registration and will be entitled to include, at our expense, their shares of common stock. In addition, the holders of these shares may require us, at our expense and on not more than two occasions at any time beginning approximately</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82" w:lineRule="exact"/>
        <w:rPr>
          <w:sz w:val="20"/>
          <w:szCs w:val="20"/>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six months from the date of the closing of this offering, to file a registration statement under the Securities Act with respect to their shares of common stock, and we will be required to use our best efforts to effect the registration.</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Further, the holders may require us at our expense to register their shares on Form S-3 when this form becomes available. These rights shall terminate on the earlier of five years after the effective date of this offering, or when a holder is able to sell all its shares pursuant to Rule 144 under the Securities Act in any 90-day period.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ANTI-TAKEOVER PROVISIONS OF DELAWARE LAW AND CHARTER PROVISIONS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are subject to Section 203 of the Delaware General Corporation Law. In general, the statute prohibits a publicly held Delaware corporation from engaging in any business combination with any interested stockholder for a period of three years following the date that the stockholder became an interested stockholder unless:</w:t>
      </w:r>
    </w:p>
    <w:p>
      <w:pPr>
        <w:spacing w:after="0" w:line="176" w:lineRule="exact"/>
        <w:rPr>
          <w:sz w:val="20"/>
          <w:szCs w:val="20"/>
          <w:color w:val="auto"/>
        </w:rPr>
      </w:pPr>
    </w:p>
    <w:p>
      <w:pPr>
        <w:ind w:left="640" w:right="3079" w:hanging="188"/>
        <w:spacing w:after="0" w:line="249"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the board of directors of the corporation approved either the business combination or the transaction that resulted in the stockholder becoming an interested stockholder;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stockholder's becoming an interested stockholder, the interested stockholder owned at least 85% of the voting stock of the corporation outstanding at the time the transaction commenced, excluding those shares owned by persons who are directors and also officers, and employee stock plans in which employee participants do not have the right to determine confidentially whether shares held subject to the plan will be tendered in a tender or exchange offer; or</w:t>
      </w:r>
    </w:p>
    <w:p>
      <w:pPr>
        <w:spacing w:after="0" w:line="175" w:lineRule="exact"/>
        <w:rPr>
          <w:rFonts w:ascii="Courier New" w:cs="Courier New" w:eastAsia="Courier New" w:hAnsi="Courier New"/>
          <w:sz w:val="15"/>
          <w:szCs w:val="15"/>
          <w:color w:val="auto"/>
        </w:rPr>
      </w:pPr>
    </w:p>
    <w:p>
      <w:pPr>
        <w:ind w:left="640" w:right="2899" w:hanging="188"/>
        <w:spacing w:after="0" w:line="249" w:lineRule="auto"/>
        <w:tabs>
          <w:tab w:leader="none" w:pos="6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the date,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w:t>
      </w:r>
    </w:p>
    <w:p>
      <w:pPr>
        <w:spacing w:after="0" w:line="17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Section 203 defines "business combination" to include:</w:t>
      </w:r>
    </w:p>
    <w:p>
      <w:pPr>
        <w:spacing w:after="0" w:line="182" w:lineRule="exact"/>
        <w:rPr>
          <w:sz w:val="20"/>
          <w:szCs w:val="20"/>
          <w:color w:val="auto"/>
        </w:rPr>
      </w:pPr>
    </w:p>
    <w:p>
      <w:pPr>
        <w:ind w:left="640" w:right="2979" w:hanging="188"/>
        <w:spacing w:after="0" w:line="250"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74"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involving the interested stockholder of 10% or more of the assets of the corporation;</w:t>
      </w:r>
    </w:p>
    <w:p>
      <w:pPr>
        <w:spacing w:after="0" w:line="174" w:lineRule="exact"/>
        <w:rPr>
          <w:rFonts w:ascii="Courier New" w:cs="Courier New" w:eastAsia="Courier New" w:hAnsi="Courier New"/>
          <w:sz w:val="15"/>
          <w:szCs w:val="15"/>
          <w:color w:val="auto"/>
        </w:rPr>
      </w:pPr>
    </w:p>
    <w:p>
      <w:pPr>
        <w:ind w:left="640" w:right="3179" w:hanging="188"/>
        <w:spacing w:after="0" w:line="249"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exceptions, any transaction that results in the issuance or transfer by the corporation of any stock of the corporation to the interested stockholder; or</w:t>
      </w:r>
    </w:p>
    <w:p>
      <w:pPr>
        <w:spacing w:after="0" w:line="175"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bylaws provide that candidates for director may be nominated only by the board of directors or by a stockholder who gives written notice to us no later than 90 days prior nor earlier than 120 days prior to the first anniversary of the last annual meeting of stockholders. The board may consist of one or more members to be determined from time to time by the board. The board currently consists of seven members divided into three different classes. As a result, only one class of directors will be elected at each annual meeting of stockholders of Intuitive Surgical, with the other classes continuing for the remainder of their respective terms. Between stockholder meetings, the board may appoint new directors to fill vacancies or newly created directorships.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94"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67</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Our certificate of incorporation requires that upon completion of the offering, any action required or permitted to be taken by our stockholders must be effected at a duly called annual or special meeting of stockholders and may not be effected by a consent in writing. Our certificate of incorporation also provides that the authorized number of directors may be changed only by resolution of the board of directors. Delaware law and these charter provisions may have the effect of deterring hostile takeovers or delaying changes in control or our management, which could depress the market price of our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2115 OF THE CALIFORNIA CORPORATIONS CODE</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are currently subject to Section 2115 of the California Corporations Code. Section 2115 provides that, regardless of a company's legal domicile, provisions of California corporate law including those relating to shareholder rights, election and removal of directors and distributions to shareholders will apply to that company if the company meets the requirements of Section 2115. We will not be subject to Section 2115 if:</w:t>
      </w:r>
    </w:p>
    <w:p>
      <w:pPr>
        <w:spacing w:after="0" w:line="200" w:lineRule="exact"/>
        <w:rPr>
          <w:sz w:val="20"/>
          <w:szCs w:val="20"/>
          <w:color w:val="auto"/>
        </w:rPr>
      </w:pPr>
    </w:p>
    <w:p>
      <w:pPr>
        <w:spacing w:after="0" w:line="328" w:lineRule="exact"/>
        <w:rPr>
          <w:sz w:val="20"/>
          <w:szCs w:val="20"/>
          <w:color w:val="auto"/>
        </w:rPr>
      </w:pPr>
    </w:p>
    <w:p>
      <w:pPr>
        <w:ind w:left="640" w:right="2979" w:hanging="188"/>
        <w:spacing w:after="0" w:line="249"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are qualified for trading as a national market security on the Nasdaq National Market, and we have at least 800 stockholders of record as of the record date of our most recent annual meeting, or</w:t>
      </w:r>
    </w:p>
    <w:p>
      <w:pPr>
        <w:spacing w:after="0" w:line="352" w:lineRule="exact"/>
        <w:rPr>
          <w:rFonts w:ascii="Courier New" w:cs="Courier New" w:eastAsia="Courier New" w:hAnsi="Courier New"/>
          <w:sz w:val="15"/>
          <w:szCs w:val="15"/>
          <w:color w:val="auto"/>
        </w:rPr>
      </w:pPr>
    </w:p>
    <w:p>
      <w:pPr>
        <w:ind w:left="640" w:right="2899" w:hanging="188"/>
        <w:spacing w:after="0" w:line="250" w:lineRule="auto"/>
        <w:tabs>
          <w:tab w:leader="none" w:pos="6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income year less than 50% of our outstanding voting securities are held of record by persons having addresses in California.</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certificate of incorporation includes a provision requiring cumulative voting for directors whenever Section 2115 of the California Corporations Code applies to us. Under cumulative voting, a minority stockholder holding a sufficient percentage of a class of shares may be able to ensure the election of one or more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w:t>
      </w:r>
    </w:p>
    <w:p>
      <w:pPr>
        <w:spacing w:after="0" w:line="182" w:lineRule="exact"/>
        <w:rPr>
          <w:sz w:val="20"/>
          <w:szCs w:val="20"/>
          <w:color w:val="auto"/>
        </w:rPr>
      </w:pPr>
    </w:p>
    <w:p>
      <w:pPr>
        <w:ind w:right="3819" w:firstLine="458"/>
        <w:spacing w:after="0" w:line="250" w:lineRule="auto"/>
        <w:rPr>
          <w:sz w:val="20"/>
          <w:szCs w:val="20"/>
          <w:color w:val="auto"/>
        </w:rPr>
      </w:pPr>
      <w:r>
        <w:rPr>
          <w:rFonts w:ascii="Courier New" w:cs="Courier New" w:eastAsia="Courier New" w:hAnsi="Courier New"/>
          <w:sz w:val="15"/>
          <w:szCs w:val="15"/>
          <w:color w:val="auto"/>
        </w:rPr>
        <w:t>The transfer agent and registrar for our common stock is American Securities Transfer &amp; Trust. Its phone number is (800) 962-4284.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NATIONAL MARKET LISTING</w:t>
      </w:r>
    </w:p>
    <w:p>
      <w:pPr>
        <w:spacing w:after="0" w:line="359"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We have applied to list our common stock on the Nasdaq National Market under the symbol "ISRG."</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9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Future sales of substantial amounts of our common stock in the public market could adversely affect prevailing market prices. Furthermore, since no shares will be available for sale shortly after this offering because of contractual and legal restrictions on resale as described below, sales of substantial amounts of our common stock in the public market after these restrictions lapse could adversely affect the prevailing market price and our ability to raise equity capital in the future.</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Upon completion of this offering, we will have outstanding an aggregate of 37,429,264 shares of common stock, assuming no exercise of the underwriters' over-allotment option and no exercise of outstanding options and warrants. Of these shares, all of the shares sold in this offering will be freely tradable without restriction or further registration under the Securities Act, unless these shares are purchased by affiliates. The remaining 29,429,264 shares of common stock held by existing stockholders are restricted securities. Restricted securities may be sold in the public market only if registered or if they qualify for an exemption from registration described below under Rules 144, 144(k) or 701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ELIGIBILITY OF RESTRICTED</w:t>
            </w:r>
          </w:p>
        </w:tc>
        <w:tc>
          <w:tcPr>
            <w:tcW w:w="2420" w:type="dxa"/>
            <w:vAlign w:val="bottom"/>
          </w:tcPr>
          <w:p>
            <w:pPr>
              <w:spacing w:after="0"/>
              <w:rPr>
                <w:sz w:val="14"/>
                <w:szCs w:val="14"/>
                <w:color w:val="auto"/>
              </w:rPr>
            </w:pPr>
          </w:p>
        </w:tc>
      </w:tr>
      <w:tr>
        <w:trPr>
          <w:trHeight w:val="176"/>
        </w:trPr>
        <w:tc>
          <w:tcPr>
            <w:tcW w:w="3480" w:type="dxa"/>
            <w:vAlign w:val="bottom"/>
          </w:tcPr>
          <w:p>
            <w:pPr>
              <w:spacing w:after="0"/>
              <w:rPr>
                <w:sz w:val="15"/>
                <w:szCs w:val="15"/>
                <w:color w:val="auto"/>
              </w:rPr>
            </w:pPr>
          </w:p>
        </w:tc>
        <w:tc>
          <w:tcPr>
            <w:tcW w:w="3160" w:type="dxa"/>
            <w:vAlign w:val="bottom"/>
          </w:tcPr>
          <w:p>
            <w:pPr>
              <w:ind w:left="820"/>
              <w:spacing w:after="0"/>
              <w:rPr>
                <w:sz w:val="20"/>
                <w:szCs w:val="20"/>
                <w:color w:val="auto"/>
              </w:rPr>
            </w:pPr>
            <w:r>
              <w:rPr>
                <w:rFonts w:ascii="Courier New" w:cs="Courier New" w:eastAsia="Courier New" w:hAnsi="Courier New"/>
                <w:sz w:val="15"/>
                <w:szCs w:val="15"/>
                <w:color w:val="auto"/>
              </w:rPr>
              <w:t>SHARES FOR SALE</w:t>
            </w:r>
          </w:p>
        </w:tc>
        <w:tc>
          <w:tcPr>
            <w:tcW w:w="2420" w:type="dxa"/>
            <w:vAlign w:val="bottom"/>
          </w:tcPr>
          <w:p>
            <w:pPr>
              <w:spacing w:after="0"/>
              <w:rPr>
                <w:sz w:val="15"/>
                <w:szCs w:val="15"/>
                <w:color w:val="auto"/>
              </w:rPr>
            </w:pP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DAYS AFTER THE EFFECTIVE DATE</w:t>
            </w:r>
          </w:p>
        </w:tc>
        <w:tc>
          <w:tcPr>
            <w:tcW w:w="3160" w:type="dxa"/>
            <w:vAlign w:val="bottom"/>
          </w:tcPr>
          <w:p>
            <w:pPr>
              <w:ind w:left="820"/>
              <w:spacing w:after="0"/>
              <w:rPr>
                <w:sz w:val="20"/>
                <w:szCs w:val="20"/>
                <w:color w:val="auto"/>
              </w:rPr>
            </w:pPr>
            <w:r>
              <w:rPr>
                <w:rFonts w:ascii="Courier New" w:cs="Courier New" w:eastAsia="Courier New" w:hAnsi="Courier New"/>
                <w:sz w:val="15"/>
                <w:szCs w:val="15"/>
                <w:color w:val="auto"/>
              </w:rPr>
              <w:t>IN PUBLIC MARKET</w:t>
            </w:r>
          </w:p>
        </w:tc>
        <w:tc>
          <w:tcPr>
            <w:tcW w:w="2420" w:type="dxa"/>
            <w:vAlign w:val="bottom"/>
          </w:tcPr>
          <w:p>
            <w:pPr>
              <w:ind w:left="960"/>
              <w:spacing w:after="0"/>
              <w:rPr>
                <w:sz w:val="20"/>
                <w:szCs w:val="20"/>
                <w:color w:val="auto"/>
              </w:rPr>
            </w:pPr>
            <w:r>
              <w:rPr>
                <w:rFonts w:ascii="Courier New" w:cs="Courier New" w:eastAsia="Courier New" w:hAnsi="Courier New"/>
                <w:sz w:val="15"/>
                <w:szCs w:val="15"/>
                <w:color w:val="auto"/>
              </w:rPr>
              <w:t>COMMENT</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3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On Effectiveness.....................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0</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Shares not locked-up and</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144(k)</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180 days.............................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25,590,896</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Lock-up released; shares</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saleable under Rules 144,</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144(k) and 701</w:t>
            </w:r>
          </w:p>
        </w:tc>
      </w:tr>
      <w:tr>
        <w:trPr>
          <w:trHeight w:val="176"/>
        </w:trPr>
        <w:tc>
          <w:tcPr>
            <w:tcW w:w="348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At various times after 180 days......</w:t>
            </w:r>
          </w:p>
        </w:tc>
        <w:tc>
          <w:tcPr>
            <w:tcW w:w="3160" w:type="dxa"/>
            <w:vAlign w:val="bottom"/>
          </w:tcPr>
          <w:p>
            <w:pPr>
              <w:jc w:val="right"/>
              <w:ind w:right="1064"/>
              <w:spacing w:after="0"/>
              <w:rPr>
                <w:sz w:val="20"/>
                <w:szCs w:val="20"/>
                <w:color w:val="auto"/>
              </w:rPr>
            </w:pPr>
            <w:r>
              <w:rPr>
                <w:rFonts w:ascii="Courier New" w:cs="Courier New" w:eastAsia="Courier New" w:hAnsi="Courier New"/>
                <w:sz w:val="15"/>
                <w:szCs w:val="15"/>
                <w:color w:val="auto"/>
              </w:rPr>
              <w:t>3,838,368</w:t>
            </w: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Shares saleable under</w:t>
            </w:r>
          </w:p>
        </w:tc>
      </w:tr>
      <w:tr>
        <w:trPr>
          <w:trHeight w:val="176"/>
        </w:trPr>
        <w:tc>
          <w:tcPr>
            <w:tcW w:w="34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420" w:type="dxa"/>
            <w:vAlign w:val="bottom"/>
          </w:tcPr>
          <w:p>
            <w:pPr>
              <w:ind w:left="140"/>
              <w:spacing w:after="0"/>
              <w:rPr>
                <w:sz w:val="20"/>
                <w:szCs w:val="20"/>
                <w:color w:val="auto"/>
              </w:rPr>
            </w:pPr>
            <w:r>
              <w:rPr>
                <w:rFonts w:ascii="Courier New" w:cs="Courier New" w:eastAsia="Courier New" w:hAnsi="Courier New"/>
                <w:sz w:val="15"/>
                <w:szCs w:val="15"/>
                <w:color w:val="auto"/>
              </w:rPr>
              <w:t>Rules 144, 144(k) and 701</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Additionally, of the 1,810,750 shares issuable upon exercise of options to purchase our common stock outstanding as of March 31, 2000, approximately 863,346 shares will be vested and eligible for sale 180 days after the date of this prospectus.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Lock-Up Agreements. All of our officers, directors, stockholders and option holders have agreed not to transfer or dispose of, directly or indirectly, any shares of our common stock or any securities convertible into or exercisable or exchangeable for shares of our common stock, for a period of 180 days after the date the registration statement of which this prospectus is a part is declared effective. Transfers or dispositions can be made sooner with the prior written consent of Lehman Brothers Inc.</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144. In general, under Rule 144 as currently in effect, beginning 90 days after the date the registration statement of which this prospectus is a part is declared effective, a person or persons whose shares are aggregated, who has beneficially owned restricted securities for at least one year, including the holding period of any prior owner except an affiliate, would be entitled to sell within any three-month period a number of shares that does not exceed the greater of:</w:t>
      </w:r>
    </w:p>
    <w:p>
      <w:pPr>
        <w:spacing w:after="0" w:line="200" w:lineRule="exact"/>
        <w:rPr>
          <w:sz w:val="20"/>
          <w:szCs w:val="20"/>
          <w:color w:val="auto"/>
        </w:rPr>
      </w:pPr>
    </w:p>
    <w:p>
      <w:pPr>
        <w:spacing w:after="0" w:line="328" w:lineRule="exact"/>
        <w:rPr>
          <w:sz w:val="20"/>
          <w:szCs w:val="20"/>
          <w:color w:val="auto"/>
        </w:rPr>
      </w:pPr>
    </w:p>
    <w:p>
      <w:pPr>
        <w:ind w:left="640" w:right="2979" w:hanging="188"/>
        <w:spacing w:after="0" w:line="249"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of the number of shares of our common stock then outstanding which will equal approximately 374,293 shares immediately after this offering; or</w:t>
      </w:r>
    </w:p>
    <w:p>
      <w:pPr>
        <w:spacing w:after="0" w:line="352" w:lineRule="exact"/>
        <w:rPr>
          <w:rFonts w:ascii="Courier New" w:cs="Courier New" w:eastAsia="Courier New" w:hAnsi="Courier New"/>
          <w:sz w:val="15"/>
          <w:szCs w:val="15"/>
          <w:color w:val="auto"/>
        </w:rPr>
      </w:pPr>
    </w:p>
    <w:p>
      <w:pPr>
        <w:ind w:left="640" w:right="2979" w:hanging="188"/>
        <w:spacing w:after="0" w:line="249" w:lineRule="auto"/>
        <w:tabs>
          <w:tab w:leader="none" w:pos="6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of our common stock on the Nasdaq National Market during the four calendar weeks preceding the filing of a notice on Form 144 with respect to the sale.</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94"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69</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Sales under Rule 144 are also subject to manner of sale provisions and notice requirements and to the availability of current public information about Intuitive Surgical.</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144(k). Under Rule 144(k), a person who is not deemed to have been one of our affiliates at any time during the 90 days preceding a sale, and who has beneficially owned the shares proposed to be sold for at least two years, including the holding period of any prior owner except an affiliate, is entitled to sell these shares without complying with the manner of sale, public information, volume limitation or notice provisions of Rule 144. No shares will qualify as "144(k) shares" within 180 days after the date the registration statement, of which this prospectus is a part, is declared effective.</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Rule 701. In general, under Rule 701 of the Securities Act as currently in effect, any of our employees, consultants or advisors, other than affiliates, who purchases or receives shares from us in connection with a compensatory stock purchase plan or option plan or other written agreement will be eligible to resell their shares beginning 90 days after the effective date of the registration statement of which this prospectus is a part, subject only to the manner of sale provisions of Rule 144, and by affiliates under Rule 144 without compliance with its holding period requirements.</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Registration Rights. Upon completion of this offering, the holders of 22,764,084 shares of our common stock and a warrant to purchase 200,000 shares of our common stock, or their transferees, will be entitled to rights with respect to the registration of their shares under the Securities Act. Registration of their shares under the Securities Act would result in the shares becoming freely tradable without restriction under the Securities Act, except for shares purchased by affiliates, immediately upon the effectiveness of this registration.</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Stock Options. Immediately after this offering, we intend to file a registration statement under the Securities Act covering the shares of common stock reserved for issuance under our 2000 Equity Incentive Plan, 2000 Non-Employee Directors' Stock Option Plan, and 2000 Employee Stock Purchase Plan. The registration statement is expected to be filed and become effective as soon as practicable after the closing of this offering. Accordingly, shares registered under the registration statements will, subject to Rule 144 volume limitations applicable to affiliates, be available for sale in the open market, beginning 180 days after the effective date of the registration statement of which this prospectus is a part.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9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70</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UNDERWRITING</w:t>
      </w:r>
    </w:p>
    <w:p>
      <w:pPr>
        <w:spacing w:after="0" w:line="359"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Under the underwriting agreement, which is filed as an exhibit to the registration statement relating to this prospectus, each of the underwriters named below, for whom Lehman Brothers Inc., Bear, Stearns &amp; Co. Inc., FleetBoston Robertson Stephens Inc., Warburg Dillon Read LLC and Fidelity Capital Markets, a division of National Financial Services Corporation are acting as representatives, has agreed to purchase from us the number of shares of common stock shown opposite its name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NUMBER OF</w:t>
      </w:r>
    </w:p>
    <w:p>
      <w:pPr>
        <w:spacing w:after="0" w:line="6" w:lineRule="exact"/>
        <w:rPr>
          <w:sz w:val="20"/>
          <w:szCs w:val="20"/>
          <w:color w:val="auto"/>
        </w:rPr>
      </w:pPr>
    </w:p>
    <w:p>
      <w:pPr>
        <w:ind w:left="2200"/>
        <w:spacing w:after="0"/>
        <w:tabs>
          <w:tab w:leader="none" w:pos="5840" w:val="left"/>
        </w:tabs>
        <w:rPr>
          <w:sz w:val="20"/>
          <w:szCs w:val="20"/>
          <w:color w:val="auto"/>
        </w:rPr>
      </w:pPr>
      <w:r>
        <w:rPr>
          <w:rFonts w:ascii="Courier New" w:cs="Courier New" w:eastAsia="Courier New" w:hAnsi="Courier New"/>
          <w:sz w:val="15"/>
          <w:szCs w:val="15"/>
          <w:color w:val="auto"/>
        </w:rPr>
        <w:t>UNDERWRITERS</w:t>
      </w:r>
      <w:r>
        <w:rPr>
          <w:sz w:val="20"/>
          <w:szCs w:val="20"/>
          <w:color w:val="auto"/>
        </w:rPr>
        <w:tab/>
      </w:r>
      <w:r>
        <w:rPr>
          <w:rFonts w:ascii="Courier New" w:cs="Courier New" w:eastAsia="Courier New" w:hAnsi="Courier New"/>
          <w:sz w:val="15"/>
          <w:szCs w:val="15"/>
          <w:color w:val="auto"/>
        </w:rPr>
        <w:t>SHARES</w:t>
      </w:r>
    </w:p>
    <w:p>
      <w:pPr>
        <w:spacing w:after="0" w:line="6" w:lineRule="exact"/>
        <w:rPr>
          <w:sz w:val="20"/>
          <w:szCs w:val="20"/>
          <w:color w:val="auto"/>
        </w:rPr>
      </w:pPr>
    </w:p>
    <w:p>
      <w:pPr>
        <w:ind w:left="2200"/>
        <w:spacing w:after="0"/>
        <w:tabs>
          <w:tab w:leader="none" w:pos="56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Bear, Stearns &amp; Co.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FleetBoston Robertson Stephens Inc.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Warburg Dillon Read LLC.....................................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Fidelity Capital Markets, a division of National Financial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Services Corporation......................................</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tabs>
          <w:tab w:leader="none" w:pos="5740" w:val="left"/>
        </w:tabs>
        <w:rPr>
          <w:sz w:val="20"/>
          <w:szCs w:val="20"/>
          <w:color w:val="auto"/>
        </w:rPr>
      </w:pPr>
      <w:r>
        <w:rPr>
          <w:rFonts w:ascii="Courier New" w:cs="Courier New" w:eastAsia="Courier New" w:hAnsi="Courier New"/>
          <w:sz w:val="15"/>
          <w:szCs w:val="15"/>
          <w:color w:val="auto"/>
        </w:rPr>
        <w:t>Total.....................................................</w:t>
        <w:tab/>
        <w:t>8,000,000</w:t>
      </w:r>
    </w:p>
    <w:p>
      <w:pPr>
        <w:spacing w:after="0" w:line="6"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obligations to purchase shares of common stock depend on the satisfaction of the conditions contained in the underwriting agreement. It also provides that, if any of the shares of common stock are purchased by the underwriters under the underwriting agreement, then all of the shares of common stock that the underwriters have agreed to purchase under the underwriting agreement must be purchased. The conditions contained in the underwriting agreement include the requirement that:</w:t>
      </w:r>
    </w:p>
    <w:p>
      <w:pPr>
        <w:spacing w:after="0" w:line="175" w:lineRule="exact"/>
        <w:rPr>
          <w:sz w:val="20"/>
          <w:szCs w:val="20"/>
          <w:color w:val="auto"/>
        </w:rPr>
      </w:pPr>
    </w:p>
    <w:p>
      <w:pPr>
        <w:ind w:left="640" w:right="3259" w:hanging="188"/>
        <w:spacing w:after="0" w:line="250" w:lineRule="auto"/>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us to the underwriters are true;</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material change in the financial markets; and</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deliver to the underwriters customary closing documents.</w:t>
      </w:r>
    </w:p>
    <w:p>
      <w:pPr>
        <w:spacing w:after="0" w:line="182"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The representatives have advised us that the underwriters propose to offer the shares of common stock directly to the public at the public offering price shown on the cover page of this prospectus. The representatives have also advised us that the underwriters propose to offer the shares of common stock to dealers, who may include the underwriters, at the public offering price less a</w:t>
      </w:r>
    </w:p>
    <w:p>
      <w:pPr>
        <w:spacing w:after="0" w:line="3"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selling concession not in excess of $</w:t>
      </w:r>
      <w:r>
        <w:rPr>
          <w:sz w:val="20"/>
          <w:szCs w:val="20"/>
          <w:color w:val="auto"/>
        </w:rPr>
        <w:tab/>
      </w:r>
      <w:r>
        <w:rPr>
          <w:rFonts w:ascii="Courier New" w:cs="Courier New" w:eastAsia="Courier New" w:hAnsi="Courier New"/>
          <w:sz w:val="15"/>
          <w:szCs w:val="15"/>
          <w:color w:val="auto"/>
        </w:rPr>
        <w:t>per share. The underwriters may allow,</w:t>
      </w:r>
    </w:p>
    <w:p>
      <w:pPr>
        <w:spacing w:after="0" w:line="6"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5"/>
          <w:szCs w:val="15"/>
          <w:color w:val="auto"/>
        </w:rPr>
        <w:t>and the dealers may reallow, a concession not in excess of $</w:t>
      </w:r>
      <w:r>
        <w:rPr>
          <w:sz w:val="20"/>
          <w:szCs w:val="20"/>
          <w:color w:val="auto"/>
        </w:rPr>
        <w:tab/>
      </w:r>
      <w:r>
        <w:rPr>
          <w:rFonts w:ascii="Courier New" w:cs="Courier New" w:eastAsia="Courier New" w:hAnsi="Courier New"/>
          <w:sz w:val="15"/>
          <w:szCs w:val="15"/>
          <w:color w:val="auto"/>
        </w:rPr>
        <w:t>per share to</w:t>
      </w:r>
    </w:p>
    <w:p>
      <w:pPr>
        <w:spacing w:after="0" w:line="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brokers and dealers. After completion of the offering, the underwriters may change the offering price and other selling terms.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granted the underwriters an option to purchase up to 1,200,000 additional shares of common stock, exercisable solely to cover over-allotments, if any, at the public offering price less the underwriting discount shown on the cover page of this prospectus. The underwriters may exercise this option at any time until 30 days after the date of the underwriting agreement. If this option is exercised, each underwriter will be committed, so long as the conditions of the underwriting agreement are satisfied, to purchase a number of additional shares of common stock proportionate to the underwriter's initial commitment as indicated in the table above and we will be obligated, under the over-allotment option, to sell the shares of common stock to the underwriters.</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agreed that, without the prior consent of Lehman Brothers Inc., we will not, directly or indirectly, offer, sell or otherwise dispose of any shares of common stock or any securities that may be converted into or exchanged for any shares of common stock for a period of 180 days from the date of this prospectus. All of our executive officers, directors and substantially all of our stockholders have agreed under lock-up agreements that, without the prior written consent of Lehman Brothers Inc., they will not, directly or indirectly, offer, sell or otherwise dispose of any shares of common stock or any securities that may be converted into or exchanged for any shares of common stock for the period ending 180 days from the date of this prospectus. See "Shares Eligible for Future Sale."</w:t>
      </w:r>
    </w:p>
    <w:p>
      <w:pPr>
        <w:sectPr>
          <w:pgSz w:w="11900" w:h="16838" w:orient="portrait"/>
          <w:cols w:equalWidth="0" w:num="1">
            <w:col w:w="10219"/>
          </w:cols>
          <w:pgMar w:left="240" w:top="294" w:right="1440" w:bottom="1440" w:gutter="0" w:footer="0" w:header="0"/>
        </w:sectPr>
      </w:pP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4"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182"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Before this offering, there has been no public market for the shares of common stock. The initial public offering price will be negotiated between the representatives and us. In determining the initial public offering price of the common stock, the representatives will consider, among other things and in addition to prevailing market conditions:</w:t>
      </w:r>
    </w:p>
    <w:p>
      <w:pPr>
        <w:spacing w:after="0" w:line="176" w:lineRule="exact"/>
        <w:rPr>
          <w:sz w:val="20"/>
          <w:szCs w:val="20"/>
          <w:color w:val="auto"/>
        </w:rPr>
      </w:pPr>
    </w:p>
    <w:p>
      <w:pPr>
        <w:ind w:left="640" w:hanging="188"/>
        <w:spacing w:after="0"/>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performance and capital structure;</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estimates of our business potential and earning prospects;</w:t>
      </w:r>
    </w:p>
    <w:p>
      <w:pPr>
        <w:spacing w:after="0" w:line="182"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overall assessment of our management; and</w:t>
      </w:r>
    </w:p>
    <w:p>
      <w:pPr>
        <w:spacing w:after="0" w:line="182" w:lineRule="exact"/>
        <w:rPr>
          <w:rFonts w:ascii="Courier New" w:cs="Courier New" w:eastAsia="Courier New" w:hAnsi="Courier New"/>
          <w:sz w:val="15"/>
          <w:szCs w:val="15"/>
          <w:color w:val="auto"/>
        </w:rPr>
      </w:pPr>
    </w:p>
    <w:p>
      <w:pPr>
        <w:ind w:left="640" w:right="3079" w:hanging="188"/>
        <w:spacing w:after="0" w:line="250" w:lineRule="auto"/>
        <w:tabs>
          <w:tab w:leader="none" w:pos="64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consideration of the above factors in relation to market valuations of companies in related businesses.</w:t>
      </w:r>
    </w:p>
    <w:p>
      <w:pPr>
        <w:spacing w:after="0" w:line="351" w:lineRule="exact"/>
        <w:rPr>
          <w:sz w:val="20"/>
          <w:szCs w:val="20"/>
          <w:color w:val="auto"/>
        </w:rPr>
      </w:pPr>
    </w:p>
    <w:p>
      <w:pPr>
        <w:ind w:right="3619" w:firstLine="458"/>
        <w:spacing w:after="0" w:line="249" w:lineRule="auto"/>
        <w:rPr>
          <w:sz w:val="20"/>
          <w:szCs w:val="20"/>
          <w:color w:val="auto"/>
        </w:rPr>
      </w:pPr>
      <w:r>
        <w:rPr>
          <w:rFonts w:ascii="Courier New" w:cs="Courier New" w:eastAsia="Courier New" w:hAnsi="Courier New"/>
          <w:sz w:val="15"/>
          <w:szCs w:val="15"/>
          <w:color w:val="auto"/>
        </w:rPr>
        <w:t>Fidelity Capital Markets, a division of National Financial Services Corporation, is acting as an underwriter of this offering and will be facilitating electronic distribution through the Internet.</w:t>
      </w:r>
    </w:p>
    <w:p>
      <w:pPr>
        <w:spacing w:after="0" w:line="352" w:lineRule="exact"/>
        <w:rPr>
          <w:sz w:val="20"/>
          <w:szCs w:val="20"/>
          <w:color w:val="auto"/>
        </w:rPr>
      </w:pPr>
    </w:p>
    <w:p>
      <w:pPr>
        <w:ind w:right="3179" w:firstLine="458"/>
        <w:spacing w:after="0" w:line="250" w:lineRule="auto"/>
        <w:rPr>
          <w:sz w:val="20"/>
          <w:szCs w:val="20"/>
          <w:color w:val="auto"/>
        </w:rPr>
      </w:pPr>
      <w:r>
        <w:rPr>
          <w:rFonts w:ascii="Courier New" w:cs="Courier New" w:eastAsia="Courier New" w:hAnsi="Courier New"/>
          <w:sz w:val="15"/>
          <w:szCs w:val="15"/>
          <w:color w:val="auto"/>
        </w:rPr>
        <w:t>We have applied for quotation of our common stock on the Nasdaq National Market under the symbol "ISRG."</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have agreed to indemnify the underwriters against liabilities, including liabilities under the Securities Act and liabilities arising from breaches of the representations and warranties contained in the underwriting agreement. We have also agreed to contribute to payments that the underwriters may be required to make for these liabilities.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Until the distribution of the common stock is completed, rules of the Securities and Exchange Commission may limit the ability of the underwriters and selling group members to bid for and purchase shares of common stock. As an exception to these rules, the representatives are permitted to engage in transactions that stabilize the price of the common stock. These transactions may consist of bids or purchases for the purposes of pegging, fixing or maintaining the price of the common stock.</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underwriters may create a short position in the common stock in connection with the offering. This means that they may sell more shares than are shown on the cover page of this prospectus. If the underwriters create a short position, then the representatives may reduce that short position by purchasing common stock in the open market. The representatives also may elect to reduce any short position by exercising all or part of the over-allotment option. The underwriters have informed us that they do not intend to confirm sales to discretionary accounts that exceed 5% of the total number of shares of common stock offered by them.</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representatives also may impose a penalty bid on underwriters and selling group members. This means that, if the representatives purchase shares of common stock in the open market to reduce the underwriters' short position or to stabilize the price of the common stock, they may reclaim the amount of the selling concession from the underwriters and selling group members that sold those shares as part of the offering.</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general, purchases of a security for the purpose of stabilization or to reduce a syndicate short position could cause the price of the security to be higher than it might otherwise be in the absence of these purchases. The imposition of a penalty bid might have an effect on the price of a security to the extent that it were to discourage resales of the security by purchasers in an offering.</w:t>
      </w:r>
    </w:p>
    <w:p>
      <w:pPr>
        <w:spacing w:after="0" w:line="35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our request, the underwriters have reserved up to 5% of the shares of common stock offered by this prospectus for sale to our officers, directors, employees, consultants and their family members and to our business associates at the assumed initial public offering price set forth on the cover page of this prospectus. The consultants that may participate in this directed share program provide us with a variety of services, including engineering, programming, finance and administration, recruiting, production and sales and marketing services. The number of shares available for sale to the general public will be reduced to the extent these persons purchase the reserved shares.</w:t>
      </w:r>
    </w:p>
    <w:p>
      <w:pPr>
        <w:sectPr>
          <w:pgSz w:w="11900" w:h="16838" w:orient="portrait"/>
          <w:cols w:equalWidth="0" w:num="1">
            <w:col w:w="10219"/>
          </w:cols>
          <w:pgMar w:left="240" w:top="294" w:right="1440" w:bottom="1440" w:gutter="0" w:footer="0" w:header="0"/>
        </w:sectPr>
      </w:pP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4"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18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LEGAL MATTERS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validity of the common stock offered by this prospectus will be passed upon for us by Cooley Godward LLP, Palo Alto, California. As of the date of this prospectus, partners and associates of Cooley Godward LLP own an aggregate of approximately 43,000 shares of our common stock through an investment partnership. The underwriters have been represented by Gibson, Dunn &amp; Crutcher LLP, Los Angeles, California.</w:t>
      </w:r>
    </w:p>
    <w:p>
      <w:pPr>
        <w:spacing w:after="0" w:line="35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as of December 31, 1998 and 1999, and for each of the three years ended December 31, 1999, as set forth in their report. We have included our financial statements in this prospectus and elsewhere in this registration statement in reliance on Ernst &amp; Young LLP's report, given based on their authority as experts in accounting and auditing.</w:t>
      </w:r>
    </w:p>
    <w:p>
      <w:pPr>
        <w:spacing w:after="0" w:line="17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82"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We have filed with the Securities and Exchange Commission a registration statement, which term shall include any amendment to the registration statement, on Form S-1 under the Securities Act of 1933 with respect to the shares of common stock offered by our company. This prospectus, which constitutes a part of the registration statement, does not contain all of the information set forth in the Registration Statement, some items of which are contained in exhibits to the registration statement as permitted by the rules and regulations of the Commission. For further information with respect to Intuitive Surgical and the common stock offered, reference is made to the registration statement, including the exhibits, and the financial statements and notes filed as a part of the registration statement. A copy of the registration statement, including the exhibits and the financial statements and notes filed as a part of it, may be inspected without charge at the public reference facilities maintained by the Commission in Room 1024, 450 Fifth Street, N.W., Washington, D.C. 20549, and the Commission's regional offices located at the Northwestern Atrium Center, 500 West Madison Street, Suite 1400, Chicago Illinois 60661 and Seven World Trade Center, 13th Floor, New York, New York 10048, and copies of all or any part of the registration statement may be obtained from the Securities and Exchange Commission upon the payment of fees prescribed by it. The Securities and Exchange Commission maintains a Web site at http://www.sec.gov that contains reports, proxy and information statements and other information regarding companies that file electronically with it.</w:t>
      </w:r>
    </w:p>
    <w:p>
      <w:pPr>
        <w:spacing w:after="0" w:line="18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4"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ind w:left="2560"/>
              <w:spacing w:after="0"/>
              <w:rPr>
                <w:sz w:val="20"/>
                <w:szCs w:val="20"/>
                <w:color w:val="auto"/>
              </w:rPr>
            </w:pPr>
            <w:r>
              <w:rPr>
                <w:rFonts w:ascii="Courier New" w:cs="Courier New" w:eastAsia="Courier New" w:hAnsi="Courier New"/>
                <w:sz w:val="15"/>
                <w:szCs w:val="15"/>
                <w:color w:val="auto"/>
              </w:rPr>
              <w:t>INTUITIVE SURGICAL, INC.</w:t>
            </w:r>
          </w:p>
        </w:tc>
        <w:tc>
          <w:tcPr>
            <w:tcW w:w="420" w:type="dxa"/>
            <w:vAlign w:val="bottom"/>
          </w:tcPr>
          <w:p>
            <w:pPr>
              <w:spacing w:after="0"/>
              <w:rPr>
                <w:sz w:val="14"/>
                <w:szCs w:val="14"/>
                <w:color w:val="auto"/>
              </w:rPr>
            </w:pPr>
          </w:p>
        </w:tc>
      </w:tr>
      <w:tr>
        <w:trPr>
          <w:trHeight w:val="352"/>
        </w:trPr>
        <w:tc>
          <w:tcPr>
            <w:tcW w:w="5620" w:type="dxa"/>
            <w:vAlign w:val="bottom"/>
          </w:tcPr>
          <w:p>
            <w:pPr>
              <w:ind w:left="174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20" w:type="dxa"/>
            <w:vAlign w:val="bottom"/>
          </w:tcPr>
          <w:p>
            <w:pPr>
              <w:spacing w:after="0"/>
              <w:rPr>
                <w:sz w:val="24"/>
                <w:szCs w:val="24"/>
                <w:color w:val="auto"/>
              </w:rPr>
            </w:pPr>
          </w:p>
        </w:tc>
      </w:tr>
      <w:tr>
        <w:trPr>
          <w:trHeight w:val="705"/>
        </w:trPr>
        <w:tc>
          <w:tcPr>
            <w:tcW w:w="562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PAGE</w:t>
            </w:r>
          </w:p>
        </w:tc>
      </w:tr>
      <w:tr>
        <w:trPr>
          <w:trHeight w:val="176"/>
        </w:trPr>
        <w:tc>
          <w:tcPr>
            <w:tcW w:w="562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Report of Ernst &amp; Young LLP, Independent Auditors...........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F-2</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F-3</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F-4</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F-5</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F-6</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F-7</w:t>
            </w:r>
          </w:p>
        </w:tc>
      </w:tr>
      <w:tr>
        <w:trPr>
          <w:trHeight w:val="529"/>
        </w:trPr>
        <w:tc>
          <w:tcPr>
            <w:tcW w:w="5620" w:type="dxa"/>
            <w:vAlign w:val="bottom"/>
          </w:tcPr>
          <w:p>
            <w:pPr>
              <w:ind w:left="3560"/>
              <w:spacing w:after="0"/>
              <w:rPr>
                <w:sz w:val="20"/>
                <w:szCs w:val="20"/>
                <w:color w:val="auto"/>
              </w:rPr>
            </w:pPr>
            <w:r>
              <w:rPr>
                <w:rFonts w:ascii="Courier New" w:cs="Courier New" w:eastAsia="Courier New" w:hAnsi="Courier New"/>
                <w:sz w:val="15"/>
                <w:szCs w:val="15"/>
                <w:color w:val="auto"/>
              </w:rPr>
              <w:t>F-1</w:t>
            </w:r>
          </w:p>
        </w:tc>
        <w:tc>
          <w:tcPr>
            <w:tcW w:w="4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182"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Intuitive Surgical, Inc. as of December 31, 1998 and 1999, and the related consolidated statements of operations, stockholders' equity,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Intuitive Surgical, Inc. as of December 31, 1998 and 1999, and the consolidated results of its operations and its cash flows for each of the three years in the period ended December 31, 1999, in conformity with accounting principles generally accepted in the United States.</w:t>
      </w:r>
    </w:p>
    <w:p>
      <w:pPr>
        <w:sectPr>
          <w:pgSz w:w="11900" w:h="16838" w:orient="portrait"/>
          <w:cols w:equalWidth="0" w:num="1">
            <w:col w:w="10219"/>
          </w:cols>
          <w:pgMar w:left="240" w:top="294"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8, 2000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ERNST &amp; YOUNG LLP</w:t>
      </w:r>
    </w:p>
    <w:p>
      <w:pPr>
        <w:spacing w:after="0" w:line="358" w:lineRule="exact"/>
        <w:rPr>
          <w:sz w:val="20"/>
          <w:szCs w:val="20"/>
          <w:color w:val="auto"/>
        </w:rPr>
      </w:pPr>
    </w:p>
    <w:p>
      <w:pPr>
        <w:sectPr>
          <w:pgSz w:w="11900" w:h="16838" w:orient="portrait"/>
          <w:cols w:equalWidth="0" w:num="2">
            <w:col w:w="3120" w:space="720"/>
            <w:col w:w="6379"/>
          </w:cols>
          <w:pgMar w:left="240" w:top="294" w:right="1440" w:bottom="1440" w:gutter="0" w:footer="0" w:header="0"/>
          <w:type w:val="continuous"/>
        </w:sectPr>
      </w:pPr>
    </w:p>
    <w:p>
      <w:pPr>
        <w:ind w:left="35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94"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5040" w:type="dxa"/>
            <w:vAlign w:val="bottom"/>
          </w:tcPr>
          <w:p>
            <w:pPr>
              <w:spacing w:after="0"/>
              <w:rPr>
                <w:sz w:val="15"/>
                <w:szCs w:val="15"/>
                <w:color w:val="auto"/>
              </w:rPr>
            </w:pPr>
          </w:p>
        </w:tc>
        <w:tc>
          <w:tcPr>
            <w:tcW w:w="21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5"/>
                <w:szCs w:val="15"/>
                <w:color w:val="auto"/>
              </w:rPr>
            </w:pP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EQUITY AT</w:t>
            </w:r>
          </w:p>
        </w:tc>
      </w:tr>
      <w:tr>
        <w:trPr>
          <w:trHeight w:val="176"/>
        </w:trPr>
        <w:tc>
          <w:tcPr>
            <w:tcW w:w="504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82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MARCH 31,</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w:t>
            </w:r>
          </w:p>
        </w:tc>
        <w:tc>
          <w:tcPr>
            <w:tcW w:w="50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4"/>
              </w:rPr>
              <w:t>2000</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320" w:type="dxa"/>
            <w:vAlign w:val="bottom"/>
            <w:gridSpan w:val="2"/>
          </w:tcPr>
          <w:p>
            <w:pPr>
              <w:jc w:val="center"/>
              <w:ind w:left="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$ 10,169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$ 39,046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Short-term investments..............................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13,051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22,154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15,585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2,044</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2,780</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1,259</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3,573</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1,018</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24,950</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31,746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62,002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3,217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2,709</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3,079</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$ 28,167</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$ 34,455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$ 65,081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2,256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3,455</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562</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897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Warranty provision..................................</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812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787</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671</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1,116</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1,254</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765</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2,102</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Current portion of notes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879</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1,618</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5,133</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9,723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10,276</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Notes payable.........................................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2,438</w:t>
            </w:r>
          </w:p>
        </w:tc>
        <w:tc>
          <w:tcPr>
            <w:tcW w:w="10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2,521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2,471</w:t>
            </w: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30,000,000 shares authorized,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$0.001 par value, issuable in series: 26,037,500</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designated as convertible preferred stock,</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16,656,000 and 19,134,375 shares issued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December 31, 1998 and 1999,</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respectively, 22,728,250 shares issued and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outstanding at March 31, 2000 (aggregate</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liquidation preference of $129,203 at March 31,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2000); 5,000,000 shares authorized, none issued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outstanding pro forma.........................</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ind w:left="180"/>
              <w:spacing w:after="0"/>
              <w:rPr>
                <w:sz w:val="20"/>
                <w:szCs w:val="20"/>
                <w:color w:val="auto"/>
              </w:rPr>
            </w:pPr>
            <w:r>
              <w:rPr>
                <w:rFonts w:ascii="Courier New" w:cs="Courier New" w:eastAsia="Courier New" w:hAnsi="Courier New"/>
                <w:sz w:val="15"/>
                <w:szCs w:val="15"/>
                <w:color w:val="auto"/>
              </w:rPr>
              <w:t>Common stock, 45,000,000 shares authorized, $0.001</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par value, 6,773,494 and 6,681,848 shares issued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and outstanding at December 31, 1998 and 1999;</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6,701,014 shares issued and outstanding at March</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ind w:left="360"/>
              <w:spacing w:after="0"/>
              <w:rPr>
                <w:sz w:val="20"/>
                <w:szCs w:val="20"/>
                <w:color w:val="auto"/>
              </w:rPr>
            </w:pPr>
            <w:r>
              <w:rPr>
                <w:rFonts w:ascii="Courier New" w:cs="Courier New" w:eastAsia="Courier New" w:hAnsi="Courier New"/>
                <w:sz w:val="15"/>
                <w:szCs w:val="15"/>
                <w:color w:val="auto"/>
              </w:rPr>
              <w:t>31, 2000; 200,000,000 shares authorized,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29,429,264 issued and outstanding pro forma.......</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78,386</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98,508</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135,781</w:t>
            </w:r>
          </w:p>
        </w:tc>
        <w:tc>
          <w:tcPr>
            <w:tcW w:w="5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135,782</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compensation...............................</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(1,128)</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(3,058)</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(3,058)</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(56,732)</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7"/>
              </w:rPr>
              <w:t>(75,147)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(80,179)</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(80,179)</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other comprehensive income..............</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46</w:t>
            </w:r>
          </w:p>
        </w:tc>
        <w:tc>
          <w:tcPr>
            <w:tcW w:w="10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(240)</w:t>
            </w:r>
          </w:p>
        </w:tc>
        <w:tc>
          <w:tcPr>
            <w:tcW w:w="5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w:t>
            </w: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20,596</w:t>
            </w:r>
          </w:p>
        </w:tc>
        <w:tc>
          <w:tcPr>
            <w:tcW w:w="1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22,211</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52,334</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$ 52,334</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$ 28,167</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$ 34,455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$ 65,081</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5040" w:type="dxa"/>
            <w:vAlign w:val="bottom"/>
          </w:tcPr>
          <w:p>
            <w:pPr>
              <w:spacing w:after="0"/>
              <w:rPr>
                <w:sz w:val="15"/>
                <w:szCs w:val="15"/>
                <w:color w:val="auto"/>
              </w:rPr>
            </w:pPr>
          </w:p>
        </w:tc>
        <w:tc>
          <w:tcPr>
            <w:tcW w:w="11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94"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5"/>
          </w:tcPr>
          <w:p>
            <w:pPr>
              <w:jc w:val="right"/>
              <w:ind w:right="664"/>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5"/>
                <w:szCs w:val="15"/>
                <w:color w:val="auto"/>
              </w:rPr>
            </w:pPr>
          </w:p>
        </w:tc>
        <w:tc>
          <w:tcPr>
            <w:tcW w:w="198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76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Courier New" w:cs="Courier New" w:eastAsia="Courier New" w:hAnsi="Courier New"/>
                <w:sz w:val="5"/>
                <w:szCs w:val="5"/>
                <w:color w:val="auto"/>
                <w:w w:val="96"/>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64"/>
              <w:spacing w:after="0"/>
              <w:rPr>
                <w:sz w:val="20"/>
                <w:szCs w:val="20"/>
                <w:color w:val="auto"/>
              </w:rPr>
            </w:pPr>
            <w:r>
              <w:rPr>
                <w:rFonts w:ascii="Courier New" w:cs="Courier New" w:eastAsia="Courier New" w:hAnsi="Courier New"/>
                <w:sz w:val="15"/>
                <w:szCs w:val="15"/>
                <w:color w:val="auto"/>
                <w:w w:val="99"/>
              </w:rPr>
              <w:t>1997</w:t>
            </w:r>
          </w:p>
        </w:tc>
        <w:tc>
          <w:tcPr>
            <w:tcW w:w="240" w:type="dxa"/>
            <w:vAlign w:val="bottom"/>
          </w:tcPr>
          <w:p>
            <w:pPr>
              <w:spacing w:after="0"/>
              <w:rPr>
                <w:sz w:val="15"/>
                <w:szCs w:val="15"/>
                <w:color w:val="auto"/>
              </w:rPr>
            </w:pPr>
          </w:p>
        </w:tc>
        <w:tc>
          <w:tcPr>
            <w:tcW w:w="8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1998</w:t>
            </w:r>
          </w:p>
        </w:tc>
        <w:tc>
          <w:tcPr>
            <w:tcW w:w="20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7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2,933</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9,273</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2,532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919</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401</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Research and development..............</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14,282</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23,208</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11,130</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3,963</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2,631</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4,434</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7,565</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9,338</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1,787</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3,138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Technology license....................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6,000</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944"/>
              <w:spacing w:after="0"/>
              <w:rPr>
                <w:sz w:val="20"/>
                <w:szCs w:val="20"/>
                <w:color w:val="auto"/>
              </w:rPr>
            </w:pPr>
            <w:r>
              <w:rPr>
                <w:rFonts w:ascii="Courier New" w:cs="Courier New" w:eastAsia="Courier New" w:hAnsi="Courier New"/>
                <w:sz w:val="15"/>
                <w:szCs w:val="15"/>
                <w:color w:val="auto"/>
              </w:rPr>
              <w:t>Total operating costs and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24,716</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30,773</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20,468</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5,750</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5,769</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from operations....................</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(24,716)</w:t>
            </w:r>
          </w:p>
        </w:tc>
        <w:tc>
          <w:tcPr>
            <w:tcW w:w="2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(30,773)</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(19,549)</w:t>
            </w:r>
          </w:p>
        </w:tc>
        <w:tc>
          <w:tcPr>
            <w:tcW w:w="2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(5,750)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(5,368)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1,244</w:t>
            </w:r>
          </w:p>
        </w:tc>
        <w:tc>
          <w:tcPr>
            <w:tcW w:w="24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1,545</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1,540</w:t>
            </w:r>
          </w:p>
        </w:tc>
        <w:tc>
          <w:tcPr>
            <w:tcW w:w="220" w:type="dxa"/>
            <w:vAlign w:val="bottom"/>
          </w:tcPr>
          <w:p>
            <w:pPr>
              <w:spacing w:after="0"/>
              <w:rPr>
                <w:sz w:val="15"/>
                <w:szCs w:val="15"/>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w:t>
            </w:r>
          </w:p>
        </w:tc>
        <w:tc>
          <w:tcPr>
            <w:tcW w:w="20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w:t>
            </w:r>
          </w:p>
        </w:tc>
        <w:tc>
          <w:tcPr>
            <w:tcW w:w="220" w:type="dxa"/>
            <w:vAlign w:val="bottom"/>
          </w:tcPr>
          <w:p>
            <w:pPr>
              <w:spacing w:after="0"/>
              <w:rPr>
                <w:sz w:val="15"/>
                <w:szCs w:val="15"/>
                <w:color w:val="auto"/>
              </w:rPr>
            </w:pP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10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(23,602)</w:t>
            </w:r>
          </w:p>
        </w:tc>
        <w:tc>
          <w:tcPr>
            <w:tcW w:w="11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(29,443)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diluted net loss per common share.....</w:t>
            </w: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2,099,605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3,618,867</w:t>
            </w:r>
          </w:p>
        </w:tc>
        <w:tc>
          <w:tcPr>
            <w:tcW w:w="20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4,837,465</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4,368,915</w:t>
            </w:r>
          </w:p>
        </w:tc>
        <w:tc>
          <w:tcPr>
            <w:tcW w:w="1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5,574,495</w:t>
            </w:r>
          </w:p>
        </w:tc>
      </w:tr>
      <w:tr>
        <w:trPr>
          <w:trHeight w:val="176"/>
        </w:trPr>
        <w:tc>
          <w:tcPr>
            <w:tcW w:w="3760" w:type="dxa"/>
            <w:vAlign w:val="bottom"/>
          </w:tcPr>
          <w:p>
            <w:pPr>
              <w:spacing w:after="0"/>
              <w:rPr>
                <w:sz w:val="15"/>
                <w:szCs w:val="15"/>
                <w:color w:val="auto"/>
              </w:rPr>
            </w:pPr>
          </w:p>
        </w:tc>
        <w:tc>
          <w:tcPr>
            <w:tcW w:w="10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basic and diluted net loss per</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share (unaudited)..............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(0.79)</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Shares used in computing pro forma basic</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and diluted net loss per common share</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37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23,330,892</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25,301,267</w:t>
            </w:r>
          </w:p>
        </w:tc>
      </w:tr>
      <w:tr>
        <w:trPr>
          <w:trHeight w:val="176"/>
        </w:trPr>
        <w:tc>
          <w:tcPr>
            <w:tcW w:w="3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94" w:right="1440" w:bottom="1440" w:gutter="0" w:footer="0" w:header="0"/>
        </w:sectPr>
      </w:pPr>
    </w:p>
    <w:bookmarkStart w:id="79" w:name="page80"/>
    <w:bookmarkEnd w:id="79"/>
    <w:p>
      <w:pPr>
        <w:spacing w:after="0" w:line="3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77</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6"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PREFERRED STOCK</w:t>
            </w:r>
          </w:p>
        </w:tc>
        <w:tc>
          <w:tcPr>
            <w:tcW w:w="206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ADDITIONAL</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38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DEFERRED</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ACCUMULATED</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AMOUNT</w:t>
            </w: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COMPENSATION</w:t>
            </w:r>
          </w:p>
        </w:tc>
        <w:tc>
          <w:tcPr>
            <w:tcW w:w="12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5,912,500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3,833,000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5,447</w:t>
            </w:r>
          </w:p>
        </w:tc>
        <w:tc>
          <w:tcPr>
            <w:tcW w:w="420" w:type="dxa"/>
            <w:vAlign w:val="bottom"/>
          </w:tcPr>
          <w:p>
            <w:pPr>
              <w:ind w:left="3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(3,687)</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$51</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6,000,000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29,943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$75</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2,125,000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16,923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2,874,853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864</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(113,333)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3,259</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(3,259)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1,428</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(23,602)</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14,037,500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6,594,520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56,430</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(1,831)</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(27,289)</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$13</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2,618,500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20,932</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255,060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(76,086)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865</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(865)</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1,568</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(29,443)</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16,656,000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6,773,494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78,386</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(1,128)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(56,732)</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2,478,375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19,281</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79,365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265</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(171,011)</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619</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(619)</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804</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19,134,375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6,681,848</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98,508</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(943)</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(75,147)</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F convertible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$603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3,593,875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34,752</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25,500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(6,334)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2,461</w:t>
            </w:r>
          </w:p>
        </w:tc>
        <w:tc>
          <w:tcPr>
            <w:tcW w:w="4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(2,461)</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346</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10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 (unaudited)......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80" w:type="dxa"/>
            <w:vAlign w:val="bottom"/>
            <w:gridSpan w:val="2"/>
          </w:tcPr>
          <w:p>
            <w:pPr>
              <w:spacing w:after="0"/>
              <w:rPr>
                <w:sz w:val="20"/>
                <w:szCs w:val="20"/>
                <w:color w:val="auto"/>
              </w:rPr>
            </w:pPr>
            <w:r>
              <w:rPr>
                <w:rFonts w:ascii="Courier New" w:cs="Courier New" w:eastAsia="Courier New" w:hAnsi="Courier New"/>
                <w:sz w:val="15"/>
                <w:szCs w:val="15"/>
                <w:color w:val="auto"/>
              </w:rPr>
              <w:t>Balances at March 31, 2000</w:t>
            </w:r>
          </w:p>
        </w:tc>
        <w:tc>
          <w:tcPr>
            <w:tcW w:w="1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3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22,728,250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6,701,014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$135,781</w:t>
            </w:r>
          </w:p>
        </w:tc>
        <w:tc>
          <w:tcPr>
            <w:tcW w:w="13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$(3,058)</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$(80,179)</w:t>
            </w: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ACCUMULATED</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TOTAL</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COMPREHENSIVE</w:t>
            </w: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STOCKHOLDERS'</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INCOME</w:t>
            </w:r>
          </w:p>
        </w:tc>
        <w:tc>
          <w:tcPr>
            <w:tcW w:w="56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6"/>
              </w:rPr>
              <w:t>EQUITY</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8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ectPr>
          <w:pgSz w:w="11900" w:h="16875" w:orient="portrait"/>
          <w:cols w:equalWidth="0" w:num="1">
            <w:col w:w="11080"/>
          </w:cols>
          <w:pgMar w:left="240" w:top="294" w:right="579" w:bottom="0" w:gutter="0" w:footer="0" w:header="0"/>
        </w:sectPr>
      </w:pPr>
    </w:p>
    <w:bookmarkStart w:id="80" w:name="page81"/>
    <w:bookmarkEnd w:id="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1996.......</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1,770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C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$51</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29,949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D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$75</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16,925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867</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1,428</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(23,602)</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1997.......</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27,331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costs of $13</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20,935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1,568</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(29,443)</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(29,397)</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1998.......</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46</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20,596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E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$544.....................</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19,283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compensation</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804</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(279)</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(18,415)</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(18,694)</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December 31, 1999.......</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(233)</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22,211</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Series F convertible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preferred stock, net of issuance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costs of $603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34,756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Repurchase of common stock</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Deferred compensation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deferred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compensation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 comprehensive income</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1280" w:type="dxa"/>
            <w:vAlign w:val="bottom"/>
          </w:tcPr>
          <w:p>
            <w:pPr>
              <w:ind w:left="360"/>
              <w:spacing w:after="0"/>
              <w:rPr>
                <w:sz w:val="20"/>
                <w:szCs w:val="20"/>
                <w:color w:val="auto"/>
              </w:rPr>
            </w:pPr>
            <w:r>
              <w:rPr>
                <w:rFonts w:ascii="Courier New" w:cs="Courier New" w:eastAsia="Courier New" w:hAnsi="Courier New"/>
                <w:sz w:val="15"/>
                <w:szCs w:val="15"/>
                <w:color w:val="auto"/>
              </w:rPr>
              <w:t>(loss) --</w:t>
            </w:r>
          </w:p>
        </w:tc>
        <w:tc>
          <w:tcPr>
            <w:tcW w:w="2280" w:type="dxa"/>
            <w:vAlign w:val="bottom"/>
          </w:tcPr>
          <w:p>
            <w:pPr>
              <w:spacing w:after="0"/>
              <w:rPr>
                <w:sz w:val="20"/>
                <w:szCs w:val="20"/>
                <w:color w:val="auto"/>
              </w:rPr>
            </w:pPr>
            <w:r>
              <w:rPr>
                <w:rFonts w:ascii="Courier New" w:cs="Courier New" w:eastAsia="Courier New" w:hAnsi="Courier New"/>
                <w:sz w:val="15"/>
                <w:szCs w:val="15"/>
                <w:color w:val="auto"/>
              </w:rPr>
              <w:t>change in unrealized</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gain (loss) on</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available-for-sale securities</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loss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 (unaudited)......</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(5,039)</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Balances at March 31, 2000</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(unaudited).......................</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$(240)</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$ 52,334</w:t>
            </w:r>
          </w:p>
        </w:tc>
      </w:tr>
      <w:tr>
        <w:trPr>
          <w:trHeight w:val="176"/>
        </w:trPr>
        <w:tc>
          <w:tcPr>
            <w:tcW w:w="12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318"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60" w:type="dxa"/>
            <w:vAlign w:val="bottom"/>
            <w:gridSpan w:val="5"/>
          </w:tcPr>
          <w:p>
            <w:pPr>
              <w:jc w:val="right"/>
              <w:ind w:right="604"/>
              <w:spacing w:after="0"/>
              <w:rPr>
                <w:sz w:val="20"/>
                <w:szCs w:val="20"/>
                <w:color w:val="auto"/>
              </w:rPr>
            </w:pPr>
            <w:r>
              <w:rPr>
                <w:rFonts w:ascii="Courier New" w:cs="Courier New" w:eastAsia="Courier New" w:hAnsi="Courier New"/>
                <w:sz w:val="15"/>
                <w:szCs w:val="15"/>
                <w:color w:val="auto"/>
              </w:rPr>
              <w:t>YEAR ENDED DECEMBER 31,</w:t>
            </w:r>
          </w:p>
        </w:tc>
        <w:tc>
          <w:tcPr>
            <w:tcW w:w="18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45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Courier New" w:cs="Courier New" w:eastAsia="Courier New" w:hAnsi="Courier New"/>
                <w:sz w:val="5"/>
                <w:szCs w:val="5"/>
                <w:color w:val="auto"/>
                <w:w w:val="97"/>
              </w:rPr>
              <w:t>--------------------------------</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240" w:type="dxa"/>
            <w:vAlign w:val="bottom"/>
          </w:tcPr>
          <w:p>
            <w:pPr>
              <w:spacing w:after="0"/>
              <w:rPr>
                <w:sz w:val="15"/>
                <w:szCs w:val="15"/>
                <w:color w:val="auto"/>
              </w:rPr>
            </w:pPr>
          </w:p>
        </w:tc>
        <w:tc>
          <w:tcPr>
            <w:tcW w:w="8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$(23,602)</w:t>
            </w:r>
          </w:p>
        </w:tc>
        <w:tc>
          <w:tcPr>
            <w:tcW w:w="11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$(29,443)</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$(18,415)</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$(5,561)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used in operating activities: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1,268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1,439</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369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deferred compensation..........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1,428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1,568</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804</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Issuance of common stock for technology........</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(2,044)</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(736)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Inventories....................................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(1,259)</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(1,602)</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(712)</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(126)</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1,339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733</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compensation and employee benefits.....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327</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763</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Warranty provision.............................</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812</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(4,471)</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138</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1,365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410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(14,925)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(31,075)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(15,927)</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(5,213)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(5,796)</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(2,785)</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(1,681)</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(309)</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Purchases of short-term investments..............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(26,254)</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(47,811)</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(38,292)</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Proceeds from sales and maturities of short-term</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10,614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50,446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28,910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3,021</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6,562</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(18,425)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954</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(10,313)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1,706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5,807</w:t>
            </w:r>
          </w:p>
        </w:tc>
      </w:tr>
      <w:tr>
        <w:trPr>
          <w:trHeight w:val="352"/>
        </w:trPr>
        <w:tc>
          <w:tcPr>
            <w:tcW w:w="45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proceeds from issuance of convertible</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46,874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20,935</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19,283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16,692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34,756</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861</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Repurchase of common stock.......................</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Proceeds from notes payable......................</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1,359</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2,644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Repayment of notes payable.......................</w:t>
            </w:r>
          </w:p>
        </w:tc>
        <w:tc>
          <w:tcPr>
            <w:tcW w:w="18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(204)</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(482)</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(1,178)</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(387)</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48,890</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23,256</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20,177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16,463</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34,929</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15,540</w:t>
            </w:r>
          </w:p>
        </w:tc>
        <w:tc>
          <w:tcPr>
            <w:tcW w:w="24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(6,865)</w:t>
            </w:r>
          </w:p>
        </w:tc>
        <w:tc>
          <w:tcPr>
            <w:tcW w:w="2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(6,063)</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12,956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34,940</w:t>
            </w:r>
          </w:p>
        </w:tc>
      </w:tr>
      <w:tr>
        <w:trPr>
          <w:trHeight w:val="176"/>
        </w:trPr>
        <w:tc>
          <w:tcPr>
            <w:tcW w:w="458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1,494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17,034</w:t>
            </w:r>
          </w:p>
        </w:tc>
        <w:tc>
          <w:tcPr>
            <w:tcW w:w="2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10,169</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10,169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4,106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$ 17,034</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$ 10,169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4,106</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$23,125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$39,046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397</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   117</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106</w:t>
            </w:r>
          </w:p>
        </w:tc>
      </w:tr>
      <w:tr>
        <w:trPr>
          <w:trHeight w:val="176"/>
        </w:trPr>
        <w:tc>
          <w:tcPr>
            <w:tcW w:w="45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94" w:right="1440" w:bottom="1440" w:gutter="0" w:footer="0" w:header="0"/>
        </w:sectPr>
      </w:pPr>
    </w:p>
    <w:bookmarkStart w:id="82" w:name="page83"/>
    <w:bookmarkEnd w:id="82"/>
    <w:p>
      <w:pPr>
        <w:ind w:left="266"/>
        <w:spacing w:after="0"/>
        <w:rPr>
          <w:sz w:val="20"/>
          <w:szCs w:val="20"/>
          <w:color w:val="auto"/>
        </w:rPr>
      </w:pPr>
      <w:r>
        <w:rPr>
          <w:rFonts w:ascii="Courier New" w:cs="Courier New" w:eastAsia="Courier New" w:hAnsi="Courier New"/>
          <w:sz w:val="15"/>
          <w:szCs w:val="15"/>
          <w:color w:val="auto"/>
        </w:rPr>
        <w:t>79</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6" w:right="6099" w:hanging="6"/>
        <w:spacing w:after="0" w:line="499" w:lineRule="auto"/>
        <w:tabs>
          <w:tab w:leader="none" w:pos="281"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74"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Intuitive Surgical, Inc., formerly Intuitive Surgical Devices, Inc. (the "Company") was incorporated in Delaware on November 9, 1995 and is engaged in the development, manufacture and marketing of products designed to provide the flexibility of open surgery while operating through ports. To date, the Company has been engaged primarily in researching, developing, testing, commercializing and pursuing regulatory clearances for its products. In 1999, the Company began to manufacture, market and sell its products in Europe and the United States. The Company expects to expend substantial additional funds and continue to incur significant operating losses for at least the next two years as it continues to fund clinical trials in support of regulatory approvals, expands research and development activities, establishes commercial-scale manufacturing capabilities and expands sales and marketing activities.</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Consolidation</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wholly-owned subsidiaries. All significant intercompany balances and transactions have been eliminated in consolidation.</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Cash and Cash Equivalents</w:t>
      </w:r>
    </w:p>
    <w:p>
      <w:pPr>
        <w:spacing w:after="0" w:line="359"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Company considers all highly liquid investments with an original maturity from date of purchase of three months or less to be cash equivalents for the purpose of balance sheet and statement of cash flows presentation. The carrying value of cash and cash equivalents approximates market value at December 31, 1998 and 1999 and March 31, 2000.</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Short-Term Investments</w:t>
      </w:r>
    </w:p>
    <w:p>
      <w:pPr>
        <w:spacing w:after="0" w:line="182"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All short-term investments are classified as available-for-sale and therefore carried at fair value. The Company views its available-for-sale portfolio as available for use in its current operations. Accordingly, the Company has classified all investments as short-term, even though the stated maturity date may be one year or more beyond the current balance sheet date. Available-for-sale securities are stated at fair value based upon quoted market prices of the securities. Unrealized gains and losses on such securities, when material, are reported as a separate component of stockholders' equity. Realized gains and losses, net, on available-for-sale securities are included in interest income. The cost of securities sold is based on the specific identification method. Interest and dividends on securities classified as available-for-sale are included in interest income.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Concentrations of Risk</w:t>
      </w:r>
    </w:p>
    <w:p>
      <w:pPr>
        <w:spacing w:after="0" w:line="359"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Financial instruments which subject the Company to potential credit risk consist of its cash equivalents, short-term investments and accounts receivable. The Company invests with high credit quality financial institutions. The Company believes the financial risks associated with these financial instruments are minimal. For the year ended December 31, 1999, two customers, A and B, each accounted for 16% of total sales. For the three months ended March 31, 2000, four customers, A, B, C and D, accounted for 28%, 22%, 14% and 30% of total sales, respectively. The Company extends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294"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 (CONTINUED)</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reasonably short collection terms but does not require collateral. The Company provides reserves for potential credit losses but has not experienced significant losses to date.</w:t>
      </w:r>
    </w:p>
    <w:p>
      <w:pPr>
        <w:spacing w:after="0" w:line="352" w:lineRule="exact"/>
        <w:rPr>
          <w:sz w:val="20"/>
          <w:szCs w:val="20"/>
          <w:color w:val="auto"/>
        </w:rPr>
      </w:pPr>
    </w:p>
    <w:p>
      <w:pPr>
        <w:ind w:right="3179" w:firstLine="458"/>
        <w:spacing w:after="0" w:line="249" w:lineRule="auto"/>
        <w:rPr>
          <w:sz w:val="20"/>
          <w:szCs w:val="20"/>
          <w:color w:val="auto"/>
        </w:rPr>
      </w:pPr>
      <w:r>
        <w:rPr>
          <w:rFonts w:ascii="Courier New" w:cs="Courier New" w:eastAsia="Courier New" w:hAnsi="Courier New"/>
          <w:sz w:val="15"/>
          <w:szCs w:val="15"/>
          <w:color w:val="auto"/>
        </w:rPr>
        <w:t>The Company's da Vinci(TM) Surgical System and related instruments and accessories have accounted for all of the Company's sales for the year ended December 31, 1999 and the three months ended March 31, 2000. The Company currently purchases key parts and components used to manufacture its products from limited sources of supply.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82" w:lineRule="exact"/>
        <w:rPr>
          <w:sz w:val="20"/>
          <w:szCs w:val="20"/>
          <w:color w:val="auto"/>
        </w:rPr>
      </w:pPr>
    </w:p>
    <w:p>
      <w:pPr>
        <w:ind w:right="3359" w:firstLine="458"/>
        <w:spacing w:after="0" w:line="250" w:lineRule="auto"/>
        <w:rPr>
          <w:sz w:val="20"/>
          <w:szCs w:val="20"/>
          <w:color w:val="auto"/>
        </w:rPr>
      </w:pPr>
      <w:r>
        <w:rPr>
          <w:rFonts w:ascii="Courier New" w:cs="Courier New" w:eastAsia="Courier New" w:hAnsi="Courier New"/>
          <w:sz w:val="15"/>
          <w:szCs w:val="15"/>
          <w:color w:val="auto"/>
        </w:rPr>
        <w:t>Inventories are stated at the lower of cost (determined on a first-in, first-out basis) or market value.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Property and equipment are stated at cost, net of accumulated depreciation. Property and equipment are depreciated on a straight-line basis over the estimated useful lives of the assets, generally three to five years. In accordance with Statement of Financial Accounting Standards No. 121, "Accounting for the Impairment of Long-Lived Assets and for Long-Lived Assets to Be Disposed Of," impairment losses on long-lived assets used in operations would be recorded when events and circumstances indicate that the assets might be impaired and the undiscounted cash flows estimated to be generated by those assets are less than the carrying amounts of those assets.</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Provision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Company's standard policy is to warrant all shipped systems against defects in design, materials and workmanship by replacing failed parts during the first year of ownership. The warranty provision is reduced by the cost of the replacement parts and labor over the warranty period. Estimated expenses for warranty obligations are accrued as revenue is recognized and are included in cost of sales.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200" w:lineRule="exact"/>
        <w:rPr>
          <w:sz w:val="20"/>
          <w:szCs w:val="20"/>
          <w:color w:val="auto"/>
        </w:rPr>
      </w:pPr>
    </w:p>
    <w:p>
      <w:pPr>
        <w:spacing w:after="0" w:line="335"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Research and development costs, which include clinical and regulatory costs, are expensed to operations as incurred in accordance with Statement of Financial Accounting Standards No. 2, "Accounting for Research and Development Costs."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License</w:t>
      </w:r>
    </w:p>
    <w:p>
      <w:pPr>
        <w:spacing w:after="0" w:line="200" w:lineRule="exact"/>
        <w:rPr>
          <w:sz w:val="20"/>
          <w:szCs w:val="20"/>
          <w:color w:val="auto"/>
        </w:rPr>
      </w:pPr>
    </w:p>
    <w:p>
      <w:pPr>
        <w:spacing w:after="0" w:line="33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1997, the Company expensed $6.0 million in conjunction with technology obtained from IBM. This arrangement with IBM specifically limits the Company's application of the technology to products used in surgery. Since none of the Company's products had received regulatory approval, and the Company had no alternate future use for the technology, this amount was expensed when incurred.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94" w:right="1440" w:bottom="1440" w:gutter="0" w:footer="0" w:header="0"/>
        </w:sectPr>
      </w:pPr>
    </w:p>
    <w:bookmarkStart w:id="84" w:name="page85"/>
    <w:bookmarkEnd w:id="84"/>
    <w:p>
      <w:pPr>
        <w:ind w:left="266"/>
        <w:spacing w:after="0"/>
        <w:rPr>
          <w:sz w:val="20"/>
          <w:szCs w:val="20"/>
          <w:color w:val="auto"/>
        </w:rPr>
      </w:pPr>
      <w:r>
        <w:rPr>
          <w:rFonts w:ascii="Courier New" w:cs="Courier New" w:eastAsia="Courier New" w:hAnsi="Courier New"/>
          <w:sz w:val="15"/>
          <w:szCs w:val="15"/>
          <w:color w:val="auto"/>
        </w:rPr>
        <w:t>81</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6" w:right="4999" w:hanging="6"/>
        <w:spacing w:after="0" w:line="250" w:lineRule="auto"/>
        <w:tabs>
          <w:tab w:leader="none" w:pos="28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Use of Estimates</w:t>
      </w:r>
    </w:p>
    <w:p>
      <w:pPr>
        <w:spacing w:after="0" w:line="17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Stock-Based Compensation</w:t>
      </w:r>
    </w:p>
    <w:p>
      <w:pPr>
        <w:spacing w:after="0" w:line="200" w:lineRule="exact"/>
        <w:rPr>
          <w:sz w:val="20"/>
          <w:szCs w:val="20"/>
          <w:color w:val="auto"/>
        </w:rPr>
      </w:pPr>
    </w:p>
    <w:p>
      <w:pPr>
        <w:spacing w:after="0" w:line="33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Company has adopted the provisions of Statement of Financial Accounting Standards No. 123, "Accounting for Stock-Based Compensation" ("SFAS No. 123"). In accordance with the provisions of SFAS No. 123, the Company applies APB Opinion 25, "Accounting for Stock Issued to Employees" and related interpretations ("APB 25") in accounting for its stock option grants and rights to purchase restricted stock to employees and directors with an exercise price equal to or in excess of the fair value of the shares at the date of grant. The Company accounts for stock awards granted to non-employees in accordance with SFAS No. 123 and related interpretations. (See Note 9)</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Revenue Recognition</w:t>
      </w:r>
    </w:p>
    <w:p>
      <w:pPr>
        <w:spacing w:after="0" w:line="359"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 recognizes system revenue upon installation for direct sales and upon shipment for sales to our distributors. If substantial contractual obligations exist after system installation, revenue is recognized after such obligations are fulfilled. Distributors do not have price protection or return rights. The Company recognizes revenue for instruments and accessories upon shipment. Amounts are billed in accordance with the terms of the underlying sales agreement. Amounts billed in excess of revenue recognized are included as deferred revenue in the accompanying consolidated balance sheet.</w:t>
      </w:r>
    </w:p>
    <w:p>
      <w:pPr>
        <w:spacing w:after="0" w:line="200" w:lineRule="exact"/>
        <w:rPr>
          <w:sz w:val="20"/>
          <w:szCs w:val="20"/>
          <w:color w:val="auto"/>
        </w:rPr>
      </w:pPr>
    </w:p>
    <w:p>
      <w:pPr>
        <w:spacing w:after="0" w:line="328"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Advertising</w:t>
      </w:r>
    </w:p>
    <w:p>
      <w:pPr>
        <w:spacing w:after="0" w:line="200" w:lineRule="exact"/>
        <w:rPr>
          <w:sz w:val="20"/>
          <w:szCs w:val="20"/>
          <w:color w:val="auto"/>
        </w:rPr>
      </w:pPr>
    </w:p>
    <w:p>
      <w:pPr>
        <w:spacing w:after="0" w:line="335" w:lineRule="exact"/>
        <w:rPr>
          <w:sz w:val="20"/>
          <w:szCs w:val="20"/>
          <w:color w:val="auto"/>
        </w:rPr>
      </w:pPr>
    </w:p>
    <w:p>
      <w:pPr>
        <w:ind w:left="6" w:right="3079" w:firstLine="458"/>
        <w:spacing w:after="0" w:line="249" w:lineRule="auto"/>
        <w:rPr>
          <w:sz w:val="20"/>
          <w:szCs w:val="20"/>
          <w:color w:val="auto"/>
        </w:rPr>
      </w:pPr>
      <w:r>
        <w:rPr>
          <w:rFonts w:ascii="Courier New" w:cs="Courier New" w:eastAsia="Courier New" w:hAnsi="Courier New"/>
          <w:sz w:val="15"/>
          <w:szCs w:val="15"/>
          <w:color w:val="auto"/>
        </w:rPr>
        <w:t>The Company expenses advertising costs as incurred. Advertising costs for the years ended December 31, 1997, 1998 and 1999, and the three months ended March 31, 2000 totaled $78,000, $155,000, $448,000 and $390,000, respectively.</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Segment Disclosures</w:t>
      </w:r>
    </w:p>
    <w:p>
      <w:pPr>
        <w:spacing w:after="0" w:line="359"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The company operates in one segment, the development and marketing of products designed to provide the flexibility of open surgery while operating through ports. For the year ended December 31, 1999, sales to Europe and the U.S. accounted for 75% and 25% of total sales, respectively. For the three months ended March 31, 2000, sales to Europe and the U.S. accounted for 34% and 66% of total sales, respectively. Sales in the U.S. included sales to the Company's Japanese distributor's U.S. subsidiary, which represented 16% and 22% of total sales for the year ended December 31, 1999 and the three months ended March 31, 2000, respectively.</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5"/>
          </w:cols>
          <w:pgMar w:left="234" w:top="294" w:right="1440" w:bottom="1440" w:gutter="0" w:footer="0" w:header="0"/>
        </w:sectPr>
      </w:pPr>
    </w:p>
    <w:bookmarkStart w:id="85" w:name="page86"/>
    <w:bookmarkEnd w:id="85"/>
    <w:p>
      <w:pPr>
        <w:ind w:left="266"/>
        <w:spacing w:after="0"/>
        <w:rPr>
          <w:sz w:val="20"/>
          <w:szCs w:val="20"/>
          <w:color w:val="auto"/>
        </w:rPr>
      </w:pPr>
      <w:r>
        <w:rPr>
          <w:rFonts w:ascii="Courier New" w:cs="Courier New" w:eastAsia="Courier New" w:hAnsi="Courier New"/>
          <w:sz w:val="15"/>
          <w:szCs w:val="15"/>
          <w:color w:val="auto"/>
        </w:rPr>
        <w:t>82</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6"/>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6" w:right="4999" w:hanging="6"/>
        <w:spacing w:after="0" w:line="250" w:lineRule="auto"/>
        <w:tabs>
          <w:tab w:leader="none" w:pos="28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In June 1998, the Financial Accounting Standards Board issued Statement No. 133, "Accounting for Derivative Instruments and Hedging Activities ("SFAS 133") which, as amended, is required to be adopted in years beginning after June 15, 2000. Because the Company does not use derivatives, management does not anticipate that the adoption of SFAS 133 will have a significant effect on the results of operations, financial position or cash flows of the Company.</w:t>
      </w:r>
    </w:p>
    <w:p>
      <w:pPr>
        <w:spacing w:after="0" w:line="176" w:lineRule="exact"/>
        <w:rPr>
          <w:sz w:val="20"/>
          <w:szCs w:val="20"/>
          <w:color w:val="auto"/>
        </w:rPr>
      </w:pPr>
    </w:p>
    <w:p>
      <w:pPr>
        <w:ind w:left="6" w:right="2979" w:firstLine="458"/>
        <w:spacing w:after="0" w:line="248"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in Financial Statements" ("SAB 101"). SAB 101 summarizes some areas of the Staff's views in applying generally accepted accounting principles to revenue recognition in financial statements.</w:t>
      </w:r>
    </w:p>
    <w:p>
      <w:pPr>
        <w:spacing w:after="0" w:line="2" w:lineRule="exact"/>
        <w:rPr>
          <w:sz w:val="20"/>
          <w:szCs w:val="20"/>
          <w:color w:val="auto"/>
        </w:rPr>
      </w:pPr>
    </w:p>
    <w:p>
      <w:pPr>
        <w:ind w:left="6" w:right="2899"/>
        <w:spacing w:after="0" w:line="250" w:lineRule="auto"/>
        <w:rPr>
          <w:sz w:val="20"/>
          <w:szCs w:val="20"/>
          <w:color w:val="auto"/>
        </w:rPr>
      </w:pPr>
      <w:r>
        <w:rPr>
          <w:rFonts w:ascii="Courier New" w:cs="Courier New" w:eastAsia="Courier New" w:hAnsi="Courier New"/>
          <w:sz w:val="15"/>
          <w:szCs w:val="15"/>
          <w:color w:val="auto"/>
        </w:rPr>
        <w:t>The Company believes that its current revenue recognition principles comply with SAB 101.</w:t>
      </w:r>
    </w:p>
    <w:p>
      <w:pPr>
        <w:spacing w:after="0" w:line="35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Unaudited Interim Financial Information</w:t>
      </w:r>
    </w:p>
    <w:p>
      <w:pPr>
        <w:spacing w:after="0" w:line="200" w:lineRule="exact"/>
        <w:rPr>
          <w:sz w:val="20"/>
          <w:szCs w:val="20"/>
          <w:color w:val="auto"/>
        </w:rPr>
      </w:pPr>
    </w:p>
    <w:p>
      <w:pPr>
        <w:spacing w:after="0" w:line="335" w:lineRule="exact"/>
        <w:rPr>
          <w:sz w:val="20"/>
          <w:szCs w:val="20"/>
          <w:color w:val="auto"/>
        </w:rPr>
      </w:pPr>
    </w:p>
    <w:p>
      <w:pPr>
        <w:ind w:left="6" w:right="2899" w:firstLine="458"/>
        <w:spacing w:after="0" w:line="249" w:lineRule="auto"/>
        <w:rPr>
          <w:sz w:val="20"/>
          <w:szCs w:val="20"/>
          <w:color w:val="auto"/>
        </w:rPr>
      </w:pPr>
      <w:r>
        <w:rPr>
          <w:rFonts w:ascii="Courier New" w:cs="Courier New" w:eastAsia="Courier New" w:hAnsi="Courier New"/>
          <w:sz w:val="15"/>
          <w:szCs w:val="15"/>
          <w:color w:val="auto"/>
        </w:rPr>
        <w:t>The financial information at March 31, 2000 and for the three months ended March 31, 1999 and 2000 is unaudited but includes all adjustments, consisting of normal recurring adjustments, which the Company considers necessary for a fair presentation of the financial position at such date and the operating results and cash flows for those periods. Results of the March 31, 2000 period are not necessarily indicative of the results for the entire fiscal year or future periods.</w:t>
      </w:r>
    </w:p>
    <w:p>
      <w:pPr>
        <w:spacing w:after="0" w:line="35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Unaudited Pro Forma Stockholders' Equity</w:t>
      </w:r>
    </w:p>
    <w:p>
      <w:pPr>
        <w:spacing w:after="0" w:line="359"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In March 2000, the Board of Directors authorized management of the Company to file a registration statement with the Securities and Exchange Commission permitting the Company to sell shares of its common stock to the public. If the initial public offering contemplated by the Company is consummated, all of the preferred stock outstanding will automatically be converted into 22,728,250 shares of common stock. Unaudited pro forma stockholders' equity at March 31, 2000, as adjusted for the assumed conversion of preferred stock outstanding at March 31, 2000, is set forth in the accompanying consolidated balance sheet.</w:t>
      </w:r>
    </w:p>
    <w:p>
      <w:pPr>
        <w:spacing w:after="0" w:line="35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2. NET LOSS PER SHARE</w:t>
      </w:r>
    </w:p>
    <w:p>
      <w:pPr>
        <w:spacing w:after="0" w:line="182" w:lineRule="exact"/>
        <w:rPr>
          <w:sz w:val="20"/>
          <w:szCs w:val="20"/>
          <w:color w:val="auto"/>
        </w:rPr>
      </w:pPr>
    </w:p>
    <w:p>
      <w:pPr>
        <w:ind w:left="6" w:right="2979" w:firstLine="458"/>
        <w:spacing w:after="0" w:line="249" w:lineRule="auto"/>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Pro forma basic and diluted net loss per share, as presented in the statements of operations, have been computed as described above and also give effect to the conversion of the convertible preferred stock (using the if-converted method) from the original date of issuance. To date, the Company has not had any issuances of shares for nominal consideration as that term is used in the Securities and Exchange Commission's Staff Accounting Bulletin No. 98, "Earnings Per Share."</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5"/>
          </w:cols>
          <w:pgMar w:left="234" w:top="29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 NET LOSS PER SHARE (CONTINUED)</w:t>
      </w:r>
    </w:p>
    <w:p>
      <w:pPr>
        <w:spacing w:after="0" w:line="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following table presents the calculation of basic and diluted net loss per share and pro forma basic and diluted net loss per share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60" w:type="dxa"/>
            <w:vAlign w:val="bottom"/>
            <w:gridSpan w:val="5"/>
          </w:tcPr>
          <w:p>
            <w:pPr>
              <w:jc w:val="right"/>
              <w:ind w:right="844"/>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5"/>
                <w:szCs w:val="15"/>
                <w:color w:val="auto"/>
              </w:rPr>
            </w:pPr>
          </w:p>
        </w:tc>
        <w:tc>
          <w:tcPr>
            <w:tcW w:w="2300" w:type="dxa"/>
            <w:vAlign w:val="bottom"/>
            <w:gridSpan w:val="3"/>
          </w:tcPr>
          <w:p>
            <w:pPr>
              <w:jc w:val="right"/>
              <w:ind w:right="76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10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7"/>
                <w:szCs w:val="7"/>
                <w:color w:val="auto"/>
                <w:w w:val="72"/>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tcPr>
          <w:p>
            <w:pPr>
              <w:jc w:val="right"/>
              <w:ind w:right="66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100" w:type="dxa"/>
            <w:vAlign w:val="bottom"/>
          </w:tcPr>
          <w:p>
            <w:pPr>
              <w:spacing w:after="0"/>
              <w:rPr>
                <w:sz w:val="20"/>
                <w:szCs w:val="20"/>
                <w:color w:val="auto"/>
              </w:rPr>
            </w:pPr>
            <w:r>
              <w:rPr>
                <w:rFonts w:ascii="Courier New" w:cs="Courier New" w:eastAsia="Courier New" w:hAnsi="Courier New"/>
                <w:sz w:val="15"/>
                <w:szCs w:val="15"/>
                <w:color w:val="auto"/>
              </w:rPr>
              <w:t>Numerator used for basic and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common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(5,032)</w:t>
            </w:r>
          </w:p>
        </w:tc>
      </w:tr>
      <w:tr>
        <w:trPr>
          <w:trHeight w:val="176"/>
        </w:trPr>
        <w:tc>
          <w:tcPr>
            <w:tcW w:w="3100" w:type="dxa"/>
            <w:vAlign w:val="bottom"/>
          </w:tcPr>
          <w:p>
            <w:pPr>
              <w:spacing w:after="0"/>
              <w:rPr>
                <w:sz w:val="15"/>
                <w:szCs w:val="15"/>
                <w:color w:val="auto"/>
              </w:rPr>
            </w:pPr>
          </w:p>
        </w:tc>
        <w:tc>
          <w:tcPr>
            <w:tcW w:w="6340" w:type="dxa"/>
            <w:vAlign w:val="bottom"/>
            <w:gridSpan w:val="10"/>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Denominator used for basic and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diluted net loss per common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outstanding..................</w:t>
            </w: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5,173,024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6,800,736</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6,729,580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6,758,628</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6,691,431</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Weighted-average shares subject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to repurchase................</w:t>
            </w:r>
          </w:p>
        </w:tc>
        <w:tc>
          <w:tcPr>
            <w:tcW w:w="20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(3,073,419)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(3,181,869)</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(1,892,115)</w:t>
            </w:r>
          </w:p>
        </w:tc>
        <w:tc>
          <w:tcPr>
            <w:tcW w:w="1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(2,389,713)</w:t>
            </w: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(1,116,936)</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2,099,605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3,618,867</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4,837,465</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4,368,915</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5,574,495</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(0.90)</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Shares used in computing pro</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forma basic and diluted net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loss per common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Shares used above..............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4,837,465</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5,574,495</w:t>
            </w: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Pro forma adjustment to reflect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weighted effect of the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assumed conversion of</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36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18,493,427</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19,726,772</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23,330,892</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25,301,267</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loss per common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(unaudited)....................</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(0.79)</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6"/>
        </w:trPr>
        <w:tc>
          <w:tcPr>
            <w:tcW w:w="3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0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excluded from diluted net loss</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per share computation because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100" w:type="dxa"/>
            <w:vAlign w:val="bottom"/>
          </w:tcPr>
          <w:p>
            <w:pPr>
              <w:ind w:left="180"/>
              <w:spacing w:after="0"/>
              <w:rPr>
                <w:sz w:val="20"/>
                <w:szCs w:val="20"/>
                <w:color w:val="auto"/>
              </w:rPr>
            </w:pPr>
            <w:r>
              <w:rPr>
                <w:rFonts w:ascii="Courier New" w:cs="Courier New" w:eastAsia="Courier New" w:hAnsi="Courier New"/>
                <w:sz w:val="15"/>
                <w:szCs w:val="15"/>
                <w:color w:val="auto"/>
              </w:rPr>
              <w:t>they are anti-dilutive.........</w:t>
            </w:r>
          </w:p>
        </w:tc>
        <w:tc>
          <w:tcPr>
            <w:tcW w:w="20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18,561,334</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20,263,030</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26,940,981</w:t>
            </w:r>
          </w:p>
        </w:tc>
        <w:tc>
          <w:tcPr>
            <w:tcW w:w="18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24,374,656</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25,551,865</w:t>
            </w:r>
          </w:p>
        </w:tc>
      </w:tr>
      <w:tr>
        <w:trPr>
          <w:trHeight w:val="176"/>
        </w:trPr>
        <w:tc>
          <w:tcPr>
            <w:tcW w:w="3100" w:type="dxa"/>
            <w:vAlign w:val="bottom"/>
          </w:tcPr>
          <w:p>
            <w:pPr>
              <w:spacing w:after="0"/>
              <w:rPr>
                <w:sz w:val="15"/>
                <w:szCs w:val="15"/>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3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F-11</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84</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AVAILABLE-FOR-SALE SECURITIES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following summarizes available-for-sale securities included in cash and cash equivalents and short-term investments as of the respective dates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DECEMBER 31, 1999</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AMORTIZED</w:t>
            </w:r>
          </w:p>
        </w:tc>
        <w:tc>
          <w:tcPr>
            <w:tcW w:w="18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4980" w:type="dxa"/>
            <w:vAlign w:val="bottom"/>
          </w:tcPr>
          <w:p>
            <w:pPr>
              <w:spacing w:after="0"/>
              <w:rPr>
                <w:sz w:val="15"/>
                <w:szCs w:val="15"/>
                <w:color w:val="auto"/>
              </w:rPr>
            </w:pPr>
          </w:p>
        </w:tc>
        <w:tc>
          <w:tcPr>
            <w:tcW w:w="96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COST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HOLDING LOSSES</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U.S. corporate debt..................................</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14,687</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(92)</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14,595</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Government debt......................................</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3,000</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(141)</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2,859</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32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4,700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$22,454</w:t>
            </w:r>
          </w:p>
        </w:tc>
        <w:tc>
          <w:tcPr>
            <w:tcW w:w="18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22,387</w:t>
            </w:r>
          </w:p>
        </w:tc>
        <w:tc>
          <w:tcPr>
            <w:tcW w:w="740" w:type="dxa"/>
            <w:vAlign w:val="bottom"/>
          </w:tcPr>
          <w:p>
            <w:pPr>
              <w:spacing w:after="0"/>
              <w:rPr>
                <w:sz w:val="15"/>
                <w:szCs w:val="15"/>
                <w:color w:val="auto"/>
              </w:rPr>
            </w:pPr>
          </w:p>
        </w:tc>
        <w:tc>
          <w:tcPr>
            <w:tcW w:w="106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7"/>
              </w:rPr>
              <w:t>(233)</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22,154</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$22,454</w:t>
            </w:r>
          </w:p>
        </w:tc>
        <w:tc>
          <w:tcPr>
            <w:tcW w:w="18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$(233)</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$22,221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881"/>
        </w:trPr>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DECEMBER 31, 1998</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498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AMORTIZED</w:t>
            </w:r>
          </w:p>
        </w:tc>
        <w:tc>
          <w:tcPr>
            <w:tcW w:w="18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FAIR</w:t>
            </w:r>
          </w:p>
        </w:tc>
      </w:tr>
      <w:tr>
        <w:trPr>
          <w:trHeight w:val="176"/>
        </w:trPr>
        <w:tc>
          <w:tcPr>
            <w:tcW w:w="4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9"/>
              </w:rPr>
              <w:t>COST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HOLDING GAINS</w:t>
            </w:r>
          </w:p>
        </w:tc>
        <w:tc>
          <w:tcPr>
            <w:tcW w:w="2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Courier New" w:cs="Courier New" w:eastAsia="Courier New" w:hAnsi="Courier New"/>
                <w:sz w:val="15"/>
                <w:szCs w:val="15"/>
                <w:color w:val="auto"/>
              </w:rPr>
              <w:t>VALUE</w:t>
            </w:r>
          </w:p>
        </w:tc>
      </w:tr>
      <w:tr>
        <w:trPr>
          <w:trHeight w:val="176"/>
        </w:trPr>
        <w:tc>
          <w:tcPr>
            <w:tcW w:w="498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w:t>
            </w:r>
          </w:p>
        </w:tc>
        <w:tc>
          <w:tcPr>
            <w:tcW w:w="18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spacing w:after="0"/>
              <w:rPr>
                <w:sz w:val="20"/>
                <w:szCs w:val="20"/>
                <w:color w:val="auto"/>
              </w:rPr>
            </w:pPr>
            <w:r>
              <w:rPr>
                <w:rFonts w:ascii="Courier New" w:cs="Courier New" w:eastAsia="Courier New" w:hAnsi="Courier New"/>
                <w:sz w:val="15"/>
                <w:szCs w:val="15"/>
                <w:color w:val="auto"/>
              </w:rPr>
              <w:t>Time deposits.........................................</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spacing w:after="0"/>
              <w:rPr>
                <w:sz w:val="24"/>
                <w:szCs w:val="24"/>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U.S. corporate debt...................................</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11,990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12,035</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Government debt.......................................</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6,600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6,601</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debt securities.................................</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1,285</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$19,925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Reported as:</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Cash equivalents....................................</w:t>
            </w: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$ 6,920</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$ 6,920</w:t>
            </w:r>
          </w:p>
        </w:tc>
      </w:tr>
      <w:tr>
        <w:trPr>
          <w:trHeight w:val="176"/>
        </w:trPr>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w:t>
            </w:r>
          </w:p>
        </w:tc>
        <w:tc>
          <w:tcPr>
            <w:tcW w:w="3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13,005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13,051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$19,925</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$46</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$19,971</w:t>
            </w:r>
          </w:p>
        </w:tc>
      </w:tr>
      <w:tr>
        <w:trPr>
          <w:trHeight w:val="176"/>
        </w:trPr>
        <w:tc>
          <w:tcPr>
            <w:tcW w:w="4980" w:type="dxa"/>
            <w:vAlign w:val="bottom"/>
          </w:tcPr>
          <w:p>
            <w:pPr>
              <w:spacing w:after="0"/>
              <w:rPr>
                <w:sz w:val="15"/>
                <w:szCs w:val="15"/>
                <w:color w:val="auto"/>
              </w:rPr>
            </w:pPr>
          </w:p>
        </w:tc>
        <w:tc>
          <w:tcPr>
            <w:tcW w:w="9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5"/>
                <w:szCs w:val="15"/>
                <w:color w:val="auto"/>
              </w:rPr>
            </w:pPr>
          </w:p>
        </w:tc>
        <w:tc>
          <w:tcPr>
            <w:tcW w:w="10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719" w:firstLine="458"/>
        <w:spacing w:after="0" w:line="250" w:lineRule="auto"/>
        <w:rPr>
          <w:sz w:val="20"/>
          <w:szCs w:val="20"/>
          <w:color w:val="auto"/>
        </w:rPr>
      </w:pPr>
      <w:r>
        <w:rPr>
          <w:rFonts w:ascii="Courier New" w:cs="Courier New" w:eastAsia="Courier New" w:hAnsi="Courier New"/>
          <w:sz w:val="15"/>
          <w:szCs w:val="15"/>
          <w:color w:val="auto"/>
        </w:rPr>
        <w:t>As of December 31, 1999, the average duration of securities in the portfolio was less than one year.</w:t>
      </w:r>
    </w:p>
    <w:p>
      <w:pPr>
        <w:spacing w:after="0" w:line="3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Proceeds from the sale of available-for-sale securities were approximately $2.0 million, $2.0 million, and $0.9 million for the years ended December 31, 1997, 1998 and 1999. Realized gross gains and losses from the sale of these securities were not significant.</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9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85</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4. INVENTORIES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Inventories consist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c>
          <w:tcPr>
            <w:tcW w:w="1000" w:type="dxa"/>
            <w:vAlign w:val="bottom"/>
          </w:tcPr>
          <w:p>
            <w:pPr>
              <w:spacing w:after="0"/>
              <w:rPr>
                <w:sz w:val="14"/>
                <w:szCs w:val="14"/>
                <w:color w:val="auto"/>
              </w:rPr>
            </w:pPr>
          </w:p>
        </w:tc>
      </w:tr>
      <w:tr>
        <w:trPr>
          <w:trHeight w:val="176"/>
        </w:trPr>
        <w:tc>
          <w:tcPr>
            <w:tcW w:w="330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9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276</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$1,147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619</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1,228</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80" w:type="dxa"/>
            <w:vAlign w:val="bottom"/>
          </w:tcPr>
          <w:p>
            <w:pPr>
              <w:spacing w:after="0"/>
              <w:rPr>
                <w:sz w:val="15"/>
                <w:szCs w:val="15"/>
                <w:color w:val="auto"/>
              </w:rPr>
            </w:pP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825</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1,095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925</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1,259</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$2,861</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$3,573</w:t>
            </w:r>
          </w:p>
        </w:tc>
      </w:tr>
      <w:tr>
        <w:trPr>
          <w:trHeight w:val="176"/>
        </w:trPr>
        <w:tc>
          <w:tcPr>
            <w:tcW w:w="3300" w:type="dxa"/>
            <w:vAlign w:val="bottom"/>
          </w:tcPr>
          <w:p>
            <w:pPr>
              <w:spacing w:after="0"/>
              <w:rPr>
                <w:sz w:val="15"/>
                <w:szCs w:val="15"/>
                <w:color w:val="auto"/>
              </w:rPr>
            </w:pPr>
          </w:p>
        </w:tc>
        <w:tc>
          <w:tcPr>
            <w:tcW w:w="8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5. PROPERTY AND EQUIPMENT</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Property and equipment consist of the following (in thousands):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18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$ 1,697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$ 1,833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Laboratory/manufacturing 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Office furniture/equipment..................................</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704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816</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867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5,364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6,295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(2,147)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(3,586)</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$ 3,217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$ 2,709</w:t>
            </w:r>
          </w:p>
        </w:tc>
      </w:tr>
      <w:tr>
        <w:trPr>
          <w:trHeight w:val="176"/>
        </w:trPr>
        <w:tc>
          <w:tcPr>
            <w:tcW w:w="558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1999, the Company has granted to third parties interests in specific property and equipment as part of equipment financing arrangements. (See Note 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6. EMPLOYEE BENEFIT PLAN</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Effective May 1, 1996, the Company established a defined contribution retirement plan (the "Plan") with 401(k) plan features. All U.S. employees who are at least 21 years of age are eligible to participate. Contributions of up to 15% of compensation may be made by employees to the Plan through salary withholdings. Employer contributions are made solely at the Company's discretion. No employer contributions were made to the Plan for the years ended December 31, 1997, 1998 and 1999.</w:t>
      </w:r>
    </w:p>
    <w:p>
      <w:pPr>
        <w:spacing w:after="0" w:line="35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COMMITMENTS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leases office space in Mountain View, California. This facility is leased through February 2002 and is accounted for as an operating lease. This lease includes an option to extend the lease for an additional three-year term. Rent expense was approximately $586,000, $825,000 and $882,000 for the years ended December 31, 1997, 1998 and 1999, respectively.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9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7. COMMITMENTS (CONTINUED)</w:t>
      </w:r>
    </w:p>
    <w:p>
      <w:pPr>
        <w:spacing w:after="0" w:line="6"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Future minimum rental commitments under the operating leases as of December 31, 1999 are as follows (in thousands):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  855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855</w:t>
            </w:r>
          </w:p>
        </w:tc>
      </w:tr>
      <w:tr>
        <w:trPr>
          <w:trHeight w:val="176"/>
        </w:trPr>
        <w:tc>
          <w:tcPr>
            <w:tcW w:w="5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r>
      <w:tr>
        <w:trPr>
          <w:trHeight w:val="176"/>
        </w:trPr>
        <w:tc>
          <w:tcPr>
            <w:tcW w:w="52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Rental income from a sublease was approximately $226,000 and $244,000 for the years ended December 31, 1998 and 1999, respectively. There was no rental income in 1997. This sublease expires in July 2000.</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arrangement entered into with IBM in December 1997 also provides for payments of $1.0 million each upon the Company reaching revenue milestones, as defined, of $25.0 million and $50.0 million. Each $1.0 million payment is due and payable after the end of the fiscal year in which the cumulative total of all sales of products and services in that year meet the revenue milestone. Both payments may become due in the same year. The $1.0 million payments will be expensed ratably over the revenue period they pertain to, beginning in the period that it becomes evident that the revenue milestones will be met. Other than described, no further payments are required under this arrangement.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NOTES PAYABLE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Notes payable consist of the following (in thousands):</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705"/>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580" w:type="dxa"/>
            <w:vAlign w:val="bottom"/>
          </w:tcPr>
          <w:p>
            <w:pPr>
              <w:spacing w:after="0"/>
              <w:rPr>
                <w:sz w:val="15"/>
                <w:szCs w:val="15"/>
                <w:color w:val="auto"/>
              </w:rPr>
            </w:pPr>
          </w:p>
        </w:tc>
        <w:tc>
          <w:tcPr>
            <w:tcW w:w="18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April 1,</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 interest rate at 13.8% at December 31,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602</w:t>
            </w: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Note payable, due in monthly installments through August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 interest rate at 12.1%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June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June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9.0%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739</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July 1,</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2002; interest rate at 9.9%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Note payable, due in monthly installments through November</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 2002; interest rate at 10.2% at December 31, 1999.....</w:t>
            </w: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464</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3,317</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4,139</w:t>
            </w:r>
          </w:p>
        </w:tc>
      </w:tr>
      <w:tr>
        <w:trPr>
          <w:trHeight w:val="176"/>
        </w:trPr>
        <w:tc>
          <w:tcPr>
            <w:tcW w:w="55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Less current portion.......................................</w:t>
            </w:r>
          </w:p>
        </w:tc>
        <w:tc>
          <w:tcPr>
            <w:tcW w:w="28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(1,618)</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58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7"/>
              </w:rPr>
              <w:t>2,438</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$ 2,521</w:t>
            </w:r>
          </w:p>
        </w:tc>
      </w:tr>
      <w:tr>
        <w:trPr>
          <w:trHeight w:val="176"/>
        </w:trPr>
        <w:tc>
          <w:tcPr>
            <w:tcW w:w="5580" w:type="dxa"/>
            <w:vAlign w:val="bottom"/>
          </w:tcPr>
          <w:p>
            <w:pPr>
              <w:spacing w:after="0"/>
              <w:rPr>
                <w:sz w:val="15"/>
                <w:szCs w:val="15"/>
                <w:color w:val="auto"/>
              </w:rPr>
            </w:pPr>
          </w:p>
        </w:tc>
        <w:tc>
          <w:tcPr>
            <w:tcW w:w="96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5580" w:type="dxa"/>
            <w:vAlign w:val="bottom"/>
          </w:tcPr>
          <w:p>
            <w:pPr>
              <w:jc w:val="right"/>
              <w:ind w:right="1664"/>
              <w:spacing w:after="0"/>
              <w:rPr>
                <w:sz w:val="20"/>
                <w:szCs w:val="20"/>
                <w:color w:val="auto"/>
              </w:rPr>
            </w:pPr>
            <w:r>
              <w:rPr>
                <w:rFonts w:ascii="Courier New" w:cs="Courier New" w:eastAsia="Courier New" w:hAnsi="Courier New"/>
                <w:sz w:val="15"/>
                <w:szCs w:val="15"/>
                <w:color w:val="auto"/>
              </w:rPr>
              <w:t>F-14</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8. NOTES PAYABLE (CONTINUED)</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Notes payable are collateralized by fixed assets specified under each agreement. Assets collateralized under these agreements total $4.0 million and $6.4 million at December 31, 1998 and 1999, respectively. Certain of the notes payable by the Company contain covenants pertaining to profitability levels and certain other financial ratios. As of December 31, 1999, the Company is in compliance with all covenants. Principal maturities of notes payable at December 31, 1999 are as follows (in thousands): 2000 -- $1.6 million; 2001 -- $1.7 million; and 2002 -- $0.8 million. In March 2000, the Company issued a note payable of $500,000 for additional equipment financing on substantially similar terms.</w:t>
      </w:r>
    </w:p>
    <w:p>
      <w:pPr>
        <w:spacing w:after="0" w:line="351"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fair value of notes payable is estimated based on current interest rates available to the Company for debt instruments with similar terms, degrees of risk and remaining maturities. The carrying values of these obligations approximate their respective fair values as of December 31, 1998 and 1999.</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At December 31, 1999, the Company was authorized to issue up to 30,000,000 shares of convertible preferred stock, issuable in series, with the rights and preferences of each designated series to be determined by the Company's Board of Directors. The outstanding shares of convertible preferred stock automatically convert into common stock upon the closing of an underwritten public offering of common stock under the Securities Act of 1933 in which the Company receives at least $10.0 million in gross proceeds and the price per share is at least $10.00 as adjusted for stock splits, recapitalization and the like, or at the election of the holders of at least 75% of the then outstanding shares of convertible preferred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Convertible preferred stock at December 31, 1999 is as follows: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3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ISSUED AND</w:t>
            </w:r>
          </w:p>
        </w:tc>
        <w:tc>
          <w:tcPr>
            <w:tcW w:w="8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PAR</w:t>
            </w:r>
          </w:p>
        </w:tc>
        <w:tc>
          <w:tcPr>
            <w:tcW w:w="1360" w:type="dxa"/>
            <w:vAlign w:val="bottom"/>
          </w:tcPr>
          <w:p>
            <w:pPr>
              <w:spacing w:after="0"/>
              <w:rPr>
                <w:sz w:val="15"/>
                <w:szCs w:val="15"/>
                <w:color w:val="auto"/>
              </w:rPr>
            </w:pP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LIQUIDATION</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DESIGNATED</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VALUE</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PROCEEDS</w:t>
            </w:r>
          </w:p>
        </w:tc>
        <w:tc>
          <w:tcPr>
            <w:tcW w:w="1160" w:type="dxa"/>
            <w:vAlign w:val="bottom"/>
          </w:tcPr>
          <w:p>
            <w:pPr>
              <w:ind w:left="140"/>
              <w:spacing w:after="0"/>
              <w:rPr>
                <w:sz w:val="20"/>
                <w:szCs w:val="20"/>
                <w:color w:val="auto"/>
              </w:rPr>
            </w:pPr>
            <w:r>
              <w:rPr>
                <w:rFonts w:ascii="Courier New" w:cs="Courier New" w:eastAsia="Courier New" w:hAnsi="Courier New"/>
                <w:sz w:val="15"/>
                <w:szCs w:val="15"/>
                <w:color w:val="auto"/>
              </w:rPr>
              <w:t>PREFERENCE</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A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5,442,500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5,442,500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$ 5,389,499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$ 5,442,500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B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470,000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41,750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C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6,000,000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29,948,787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D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2,125,000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2,125,000</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16,924,873</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17,000,000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E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5,096,875</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40,218,071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40,775,000</w:t>
            </w:r>
          </w:p>
        </w:tc>
      </w:t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Series F convertible..............</w:t>
            </w: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0.001</w:t>
            </w: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26,037,500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19,134,375</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$92,522,980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$93,264,500</w:t>
            </w:r>
          </w:p>
        </w:tc>
      </w:tr>
      <w:tr>
        <w:trPr>
          <w:trHeight w:val="176"/>
        </w:trPr>
        <w:tc>
          <w:tcPr>
            <w:tcW w:w="3200" w:type="dxa"/>
            <w:vAlign w:val="bottom"/>
          </w:tcPr>
          <w:p>
            <w:pPr>
              <w:spacing w:after="0"/>
              <w:rPr>
                <w:sz w:val="15"/>
                <w:szCs w:val="15"/>
                <w:color w:val="auto"/>
              </w:rPr>
            </w:pPr>
          </w:p>
        </w:tc>
        <w:tc>
          <w:tcPr>
            <w:tcW w:w="11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5"/>
                <w:szCs w:val="15"/>
                <w:color w:val="auto"/>
              </w:rPr>
            </w:pPr>
          </w:p>
        </w:tc>
        <w:tc>
          <w:tcPr>
            <w:tcW w:w="13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During the three months ended March 31, 2000, the Company issued 3,593,875 shares of Series F convertible preferred stock, upon exercise of warrants at a weighted-average exercise price of $9.84 per share, for net proceeds of $34.8 million. These shares are outstanding at March 31, 2000 and have an aggregate liquidation preference of $35.9 million.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94"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Each share of Series A, B, C, D, E and F convertible preferred stock is convertible, at the option of the holder, into common stock on a one-for-one basis, subject to certain adjustments for dilution, if any, resulting from future stock issuances.</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Series A, B, C, D, E and F convertible preferred stockholders are entitled to noncumulative dividends, before and in preference to any dividends paid on common stock, at the rate of 8% of the original issuance price per annum on each outstanding share of preferred stock as adjusted for stock splits, recapitalization and the like. Dividends will be paid only when and if declared by the Board of Directors out of legally available funds. No dividends have been declared through March 31, 2000.</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Series A, B, C, D, E and F convertible preferred stockholders are entitled to receive, upon liquidation, dissolution or winding up of the Company, an amount per share equal to the original issuance price, plus all declared but unpaid dividends. Thereafter, the remaining assets and funds, if any, shall be distributed pro rata among the common stockholders. If the assets or property were not sufficient to allow full payment to the Series A, B, C, D, E and F stockholders, the available assets or property shall be distributed ratably among the Series A, B, C, D, E and F stockholders.</w:t>
      </w:r>
    </w:p>
    <w:p>
      <w:pPr>
        <w:spacing w:after="0" w:line="200" w:lineRule="exact"/>
        <w:rPr>
          <w:sz w:val="20"/>
          <w:szCs w:val="20"/>
          <w:color w:val="auto"/>
        </w:rPr>
      </w:pPr>
    </w:p>
    <w:p>
      <w:pPr>
        <w:spacing w:after="0" w:line="328" w:lineRule="exact"/>
        <w:rPr>
          <w:sz w:val="20"/>
          <w:szCs w:val="20"/>
          <w:color w:val="auto"/>
        </w:rPr>
      </w:pPr>
    </w:p>
    <w:p>
      <w:pPr>
        <w:jc w:val="both"/>
        <w:ind w:right="3359" w:firstLine="458"/>
        <w:spacing w:after="0" w:line="250" w:lineRule="auto"/>
        <w:rPr>
          <w:sz w:val="20"/>
          <w:szCs w:val="20"/>
          <w:color w:val="auto"/>
        </w:rPr>
      </w:pPr>
      <w:r>
        <w:rPr>
          <w:rFonts w:ascii="Courier New" w:cs="Courier New" w:eastAsia="Courier New" w:hAnsi="Courier New"/>
          <w:sz w:val="15"/>
          <w:szCs w:val="15"/>
          <w:color w:val="auto"/>
        </w:rPr>
        <w:t>The Series A, B, C, D, E and F convertible preferred stockholders have voting rights equal to the shares of common stock issuable upon conversion.</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Company has reserved the following shares of common stock for the conversion of preferred stock, the exercise of warrants, and the issuance of options and rights granted under the Company's stock option plan as of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MARCH 31,</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Convertible preferred stock........</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19,134,375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22,728,250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Warrants...........................</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5,107,875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Stock option plan..................</w:t>
            </w: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1,670,722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2,145,222</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25,912,972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24,884,472</w:t>
            </w:r>
          </w:p>
        </w:tc>
      </w:tr>
      <w:tr>
        <w:trPr>
          <w:trHeight w:val="176"/>
        </w:trPr>
        <w:tc>
          <w:tcPr>
            <w:tcW w:w="3300" w:type="dxa"/>
            <w:vAlign w:val="bottom"/>
          </w:tcPr>
          <w:p>
            <w:pPr>
              <w:spacing w:after="0"/>
              <w:rPr>
                <w:sz w:val="15"/>
                <w:szCs w:val="15"/>
                <w:color w:val="auto"/>
              </w:rPr>
            </w:pPr>
          </w:p>
        </w:tc>
        <w:tc>
          <w:tcPr>
            <w:tcW w:w="13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Company has previously issued shares of common stock which are subject to the Company's right to repurchase at the original issuance price upon the occurrence of certain events as defined in the agreements relating to the sale of such stock. As of December 31, 1997, 1998 and 1999 and March 31, 2000, shares subject to repurchase were 3,523,425, 2,559,530, 1,232,006 and 1,001,865, respectively.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82"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In April 1997, in connection with one of the notes payable discussed in Note 8, the Company issued a warrant to purchase 11,000 shares of common stock at an exercise price of $5.00. The warrant, which is currently exercisable, expires in April 2003. The fair value of the warrant was not material at the issuance date.</w:t>
      </w:r>
    </w:p>
    <w:p>
      <w:pPr>
        <w:spacing w:after="0" w:line="176" w:lineRule="exact"/>
        <w:rPr>
          <w:sz w:val="20"/>
          <w:szCs w:val="20"/>
          <w:color w:val="auto"/>
        </w:rPr>
      </w:pPr>
    </w:p>
    <w:p>
      <w:pPr>
        <w:jc w:val="both"/>
        <w:ind w:right="3359" w:firstLine="458"/>
        <w:spacing w:after="0" w:line="249" w:lineRule="auto"/>
        <w:rPr>
          <w:sz w:val="20"/>
          <w:szCs w:val="20"/>
          <w:color w:val="auto"/>
        </w:rPr>
      </w:pPr>
      <w:r>
        <w:rPr>
          <w:rFonts w:ascii="Courier New" w:cs="Courier New" w:eastAsia="Courier New" w:hAnsi="Courier New"/>
          <w:sz w:val="15"/>
          <w:szCs w:val="15"/>
          <w:color w:val="auto"/>
        </w:rPr>
        <w:t>In conjunction with the issuance of the Series E convertible preferred stock, the Company issued to each purchaser a warrant to purchase shares of Series F convertible preferred stock at a price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294" w:right="1440" w:bottom="101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initially equal to $8.00 per preferred share. Warrants to purchase 5,096,875 shares of Series F convertible preferred stock were issued. The exercise price shall increase on every subsequent one-month anniversary of the issuance date by $0.1667 per month up to a maximum exercise price of $10.00 per preferred share ($9.50 as of December 31, 1999). These warrants are exercisable through March 2000. During the three months ended March 31, 2000, warrants to purchase 3,593,875 shares of Series F convertible preferred stock were exercised at a weighted-average exercise price of $9.84 per share for net proceeds of $34.8 million.</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200" w:lineRule="exact"/>
        <w:rPr>
          <w:sz w:val="20"/>
          <w:szCs w:val="20"/>
          <w:color w:val="auto"/>
        </w:rPr>
      </w:pPr>
    </w:p>
    <w:p>
      <w:pPr>
        <w:spacing w:after="0" w:line="335"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In January 1996, the Board of Directors adopted, and the stockholders approved, the 1996 Equity Incentive Plan (the "1996 Plan") under which employees, consultants and directors may be granted Incentive Stock Options ("ISOs") and Nonstatutory Stock Options ("NSOs") to purchase shares of the Company's common stock. The 1996 Plan permits ISOs to be granted at an exercise price not less than the fair value on the date of grant and NSOs at an exercise price not less than 85% of the fair value on the date of grant. Options granted under the 1996 Plan generally expire 10 years from the date of grant and become exercisable upon grant subject to repurchase rights in favor of the Company until vested. Options generally vest 12.5% upon completion of 6 months service and 1/48 per month thereafter; however, options may be granted with different vesting terms as determined by the Board of Directors. A total of 4,340,000 shares of common stock have been authorized for issuance pursuant to the 1996 Plan as of December 31, 1999. In March 2000, the Company reserved an additional 500,000 shares under the 1996 Plan.</w:t>
      </w:r>
    </w:p>
    <w:p>
      <w:pPr>
        <w:spacing w:after="0" w:line="200" w:lineRule="exact"/>
        <w:rPr>
          <w:sz w:val="20"/>
          <w:szCs w:val="20"/>
          <w:color w:val="auto"/>
        </w:rPr>
      </w:pPr>
    </w:p>
    <w:p>
      <w:pPr>
        <w:spacing w:after="0" w:line="338"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March 2000, the Board of Directors adopted the 2000 Equity Incentive Plan which takes effect upon the closing of the Company's initial public offering. The Company has reserved an additional 5,160,000 shares under this plan. This plan is an amendment and restatement of the 1996 Plan. Also in March 2000, the Board of Directors adopted the 2000 Non-Employee Directors' Stock Option Plan and the 2000 Employee Stock Purchase Plan. The Company has reserved 300,000 and 1,000,000 shares for issuances under these plans, respectively. These plans will also be effective upon the closing of the Company's initial public offering.</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9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Option activity under the 1996 Plan was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74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OPTIONS OUTSTANDING</w:t>
            </w:r>
          </w:p>
        </w:tc>
      </w:tr>
      <w:tr>
        <w:trPr>
          <w:trHeight w:val="176"/>
        </w:trPr>
        <w:tc>
          <w:tcPr>
            <w:tcW w:w="4940" w:type="dxa"/>
            <w:vAlign w:val="bottom"/>
          </w:tcPr>
          <w:p>
            <w:pPr>
              <w:spacing w:after="0"/>
              <w:rPr>
                <w:sz w:val="15"/>
                <w:szCs w:val="15"/>
                <w:color w:val="auto"/>
              </w:rPr>
            </w:pPr>
          </w:p>
        </w:tc>
        <w:tc>
          <w:tcPr>
            <w:tcW w:w="2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9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WEIGHTED-</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NUMBER OF</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SHARES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 31, 1996.....................</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398,000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2,485,950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$0.56</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(1,889,853)</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$0.39</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Canceled..........................................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(4,688)</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$0.66</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 31, 1997.....................</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989,409</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$0.68</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392,750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(245,060)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$0.65</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Canceled..........................................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(100,599)</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$1.71</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 31, 1998.....................</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1,036,500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$1.21</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641,050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(29,365)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$2.21</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Canceled..........................................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(181,460)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$1.82</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December 31, 1999.....................</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1,466,725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$1.90</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373,850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Exercised.........................................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(25,500)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$2.71</w:t>
            </w: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Canceled..........................................</w:t>
            </w:r>
          </w:p>
        </w:tc>
        <w:tc>
          <w:tcPr>
            <w:tcW w:w="132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(4,325)</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$2.80</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r>
        <w:trPr>
          <w:trHeight w:val="176"/>
        </w:trPr>
        <w:tc>
          <w:tcPr>
            <w:tcW w:w="49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Balance as of March 31, 2000........................</w:t>
            </w: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1,810,750</w:t>
            </w:r>
          </w:p>
        </w:tc>
        <w:tc>
          <w:tcPr>
            <w:tcW w:w="1420" w:type="dxa"/>
            <w:vAlign w:val="bottom"/>
          </w:tcPr>
          <w:p>
            <w:pPr>
              <w:jc w:val="center"/>
              <w:ind w:left="4"/>
              <w:spacing w:after="0"/>
              <w:rPr>
                <w:sz w:val="20"/>
                <w:szCs w:val="20"/>
                <w:color w:val="auto"/>
              </w:rPr>
            </w:pPr>
            <w:r>
              <w:rPr>
                <w:rFonts w:ascii="Courier New" w:cs="Courier New" w:eastAsia="Courier New" w:hAnsi="Courier New"/>
                <w:sz w:val="15"/>
                <w:szCs w:val="15"/>
                <w:color w:val="auto"/>
              </w:rPr>
              <w:t>$2.11</w:t>
            </w:r>
          </w:p>
        </w:tc>
      </w:tr>
      <w:tr>
        <w:trPr>
          <w:trHeight w:val="176"/>
        </w:trPr>
        <w:tc>
          <w:tcPr>
            <w:tcW w:w="494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079" w:firstLine="458"/>
        <w:spacing w:after="0" w:line="250" w:lineRule="auto"/>
        <w:rPr>
          <w:sz w:val="20"/>
          <w:szCs w:val="20"/>
          <w:color w:val="auto"/>
        </w:rPr>
      </w:pPr>
      <w:r>
        <w:rPr>
          <w:rFonts w:ascii="Courier New" w:cs="Courier New" w:eastAsia="Courier New" w:hAnsi="Courier New"/>
          <w:sz w:val="15"/>
          <w:szCs w:val="15"/>
          <w:color w:val="auto"/>
        </w:rPr>
        <w:t>The following table summarizes information concerning options outstanding and vested as of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MARCH 31, 2000</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6"/>
        </w:trPr>
        <w:tc>
          <w:tcPr>
            <w:tcW w:w="1820" w:type="dxa"/>
            <w:vAlign w:val="bottom"/>
          </w:tcPr>
          <w:p>
            <w:pPr>
              <w:spacing w:after="0"/>
              <w:rPr>
                <w:sz w:val="15"/>
                <w:szCs w:val="15"/>
                <w:color w:val="auto"/>
              </w:rPr>
            </w:pPr>
          </w:p>
        </w:tc>
        <w:tc>
          <w:tcPr>
            <w:tcW w:w="7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40" w:type="dxa"/>
            <w:vAlign w:val="bottom"/>
            <w:gridSpan w:val="2"/>
          </w:tcPr>
          <w:p>
            <w:pPr>
              <w:jc w:val="right"/>
              <w:ind w:right="1424"/>
              <w:spacing w:after="0"/>
              <w:rPr>
                <w:sz w:val="20"/>
                <w:szCs w:val="20"/>
                <w:color w:val="auto"/>
              </w:rPr>
            </w:pPr>
            <w:r>
              <w:rPr>
                <w:rFonts w:ascii="Courier New" w:cs="Courier New" w:eastAsia="Courier New" w:hAnsi="Courier New"/>
                <w:sz w:val="15"/>
                <w:szCs w:val="15"/>
                <w:color w:val="auto"/>
              </w:rPr>
              <w:t>OPTIONS OUTSTANDING</w:t>
            </w:r>
          </w:p>
        </w:tc>
        <w:tc>
          <w:tcPr>
            <w:tcW w:w="2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OPTIONS OUTSTANDING AND VESTED</w:t>
            </w:r>
          </w:p>
        </w:tc>
      </w:tr>
      <w:tr>
        <w:trPr>
          <w:trHeight w:val="176"/>
        </w:trPr>
        <w:tc>
          <w:tcPr>
            <w:tcW w:w="1820" w:type="dxa"/>
            <w:vAlign w:val="bottom"/>
          </w:tcPr>
          <w:p>
            <w:pPr>
              <w:spacing w:after="0"/>
              <w:rPr>
                <w:sz w:val="15"/>
                <w:szCs w:val="15"/>
                <w:color w:val="auto"/>
              </w:rPr>
            </w:pPr>
          </w:p>
        </w:tc>
        <w:tc>
          <w:tcPr>
            <w:tcW w:w="298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4"/>
              </w:rPr>
              <w:t>-------------------------------------------------</w:t>
            </w:r>
          </w:p>
        </w:tc>
        <w:tc>
          <w:tcPr>
            <w:tcW w:w="174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74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spacing w:after="0"/>
              <w:rPr>
                <w:sz w:val="15"/>
                <w:szCs w:val="15"/>
                <w:color w:val="auto"/>
              </w:rPr>
            </w:pP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EXERCISE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REMAINING</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PRICES</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OUTSTANDING</w:t>
            </w:r>
          </w:p>
        </w:tc>
        <w:tc>
          <w:tcPr>
            <w:tcW w:w="1600" w:type="dxa"/>
            <w:vAlign w:val="bottom"/>
          </w:tcPr>
          <w:p>
            <w:pPr>
              <w:spacing w:after="0"/>
              <w:rPr>
                <w:sz w:val="20"/>
                <w:szCs w:val="20"/>
                <w:color w:val="auto"/>
              </w:rPr>
            </w:pPr>
            <w:r>
              <w:rPr>
                <w:rFonts w:ascii="Courier New" w:cs="Courier New" w:eastAsia="Courier New" w:hAnsi="Courier New"/>
                <w:sz w:val="15"/>
                <w:szCs w:val="15"/>
                <w:color w:val="auto"/>
              </w:rPr>
              <w:t>CONTRACTUAL LIFE</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AND VESTED</w:t>
            </w:r>
          </w:p>
        </w:tc>
        <w:tc>
          <w:tcPr>
            <w:tcW w:w="16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6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6.10</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528,650</w:t>
            </w:r>
          </w:p>
        </w:tc>
        <w:tc>
          <w:tcPr>
            <w:tcW w:w="16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7.20</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$0.50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346,435</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178,900</w:t>
            </w:r>
          </w:p>
        </w:tc>
        <w:tc>
          <w:tcPr>
            <w:tcW w:w="16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7.70</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109,952</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1,098,200</w:t>
            </w:r>
          </w:p>
        </w:tc>
        <w:tc>
          <w:tcPr>
            <w:tcW w:w="16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9.50</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140,106</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1,810,750</w:t>
            </w:r>
          </w:p>
        </w:tc>
        <w:tc>
          <w:tcPr>
            <w:tcW w:w="1600" w:type="dxa"/>
            <w:vAlign w:val="bottom"/>
          </w:tcPr>
          <w:p>
            <w:pPr>
              <w:jc w:val="center"/>
              <w:ind w:right="44"/>
              <w:spacing w:after="0"/>
              <w:rPr>
                <w:sz w:val="20"/>
                <w:szCs w:val="20"/>
                <w:color w:val="auto"/>
              </w:rPr>
            </w:pPr>
            <w:r>
              <w:rPr>
                <w:rFonts w:ascii="Courier New" w:cs="Courier New" w:eastAsia="Courier New" w:hAnsi="Courier New"/>
                <w:sz w:val="15"/>
                <w:szCs w:val="15"/>
                <w:color w:val="auto"/>
                <w:w w:val="99"/>
              </w:rPr>
              <w:t>8.70</w:t>
            </w:r>
          </w:p>
        </w:tc>
        <w:tc>
          <w:tcPr>
            <w:tcW w:w="17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$2.11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596,493</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$1.27</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705"/>
        </w:trPr>
        <w:tc>
          <w:tcPr>
            <w:tcW w:w="18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0" w:type="dxa"/>
            <w:vAlign w:val="bottom"/>
          </w:tcPr>
          <w:p>
            <w:pPr>
              <w:ind w:left="280"/>
              <w:spacing w:after="0"/>
              <w:rPr>
                <w:sz w:val="20"/>
                <w:szCs w:val="20"/>
                <w:color w:val="auto"/>
              </w:rPr>
            </w:pPr>
            <w:r>
              <w:rPr>
                <w:rFonts w:ascii="Courier New" w:cs="Courier New" w:eastAsia="Courier New" w:hAnsi="Courier New"/>
                <w:sz w:val="15"/>
                <w:szCs w:val="15"/>
                <w:color w:val="auto"/>
              </w:rPr>
              <w:t>F-18</w:t>
            </w: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0219"/>
          </w:cols>
          <w:pgMar w:left="240" w:top="29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DECEMBER 31, 1999</w:t>
            </w: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6"/>
        </w:trPr>
        <w:tc>
          <w:tcPr>
            <w:tcW w:w="1820" w:type="dxa"/>
            <w:vAlign w:val="bottom"/>
          </w:tcPr>
          <w:p>
            <w:pPr>
              <w:spacing w:after="0"/>
              <w:rPr>
                <w:sz w:val="15"/>
                <w:szCs w:val="15"/>
                <w:color w:val="auto"/>
              </w:rPr>
            </w:pPr>
          </w:p>
        </w:tc>
        <w:tc>
          <w:tcPr>
            <w:tcW w:w="7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OUTSTANDING</w:t>
            </w:r>
          </w:p>
        </w:tc>
        <w:tc>
          <w:tcPr>
            <w:tcW w:w="2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OPTIONS OUTSTANDING AND VESTED</w:t>
            </w:r>
          </w:p>
        </w:tc>
      </w:tr>
      <w:tr>
        <w:trPr>
          <w:trHeight w:val="176"/>
        </w:trPr>
        <w:tc>
          <w:tcPr>
            <w:tcW w:w="1820" w:type="dxa"/>
            <w:vAlign w:val="bottom"/>
          </w:tcPr>
          <w:p>
            <w:pPr>
              <w:spacing w:after="0"/>
              <w:rPr>
                <w:sz w:val="15"/>
                <w:szCs w:val="15"/>
                <w:color w:val="auto"/>
              </w:rPr>
            </w:pPr>
          </w:p>
        </w:tc>
        <w:tc>
          <w:tcPr>
            <w:tcW w:w="2940" w:type="dxa"/>
            <w:vAlign w:val="bottom"/>
            <w:gridSpan w:val="2"/>
          </w:tcPr>
          <w:p>
            <w:pPr>
              <w:ind w:left="100"/>
              <w:spacing w:after="0"/>
              <w:rPr>
                <w:sz w:val="20"/>
                <w:szCs w:val="20"/>
                <w:color w:val="auto"/>
              </w:rPr>
            </w:pPr>
            <w:r>
              <w:rPr>
                <w:rFonts w:ascii="Courier New" w:cs="Courier New" w:eastAsia="Courier New" w:hAnsi="Courier New"/>
                <w:sz w:val="13"/>
                <w:szCs w:val="13"/>
                <w:color w:val="auto"/>
                <w:w w:val="73"/>
              </w:rPr>
              <w:t>-------------------------------------------------</w:t>
            </w:r>
          </w:p>
        </w:tc>
        <w:tc>
          <w:tcPr>
            <w:tcW w:w="1780" w:type="dxa"/>
            <w:vAlign w:val="bottom"/>
          </w:tcPr>
          <w:p>
            <w:pPr>
              <w:spacing w:after="0"/>
              <w:rPr>
                <w:sz w:val="15"/>
                <w:szCs w:val="15"/>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1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WEIGHTED-AVERAGE</w:t>
            </w:r>
          </w:p>
        </w:tc>
        <w:tc>
          <w:tcPr>
            <w:tcW w:w="1780" w:type="dxa"/>
            <w:vAlign w:val="bottom"/>
          </w:tcPr>
          <w:p>
            <w:pPr>
              <w:spacing w:after="0"/>
              <w:rPr>
                <w:sz w:val="15"/>
                <w:szCs w:val="15"/>
                <w:color w:val="auto"/>
              </w:rPr>
            </w:pPr>
          </w:p>
        </w:tc>
        <w:tc>
          <w:tcPr>
            <w:tcW w:w="12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NUMBER</w:t>
            </w:r>
          </w:p>
        </w:tc>
        <w:tc>
          <w:tcPr>
            <w:tcW w:w="1620" w:type="dxa"/>
            <w:vAlign w:val="bottom"/>
          </w:tcPr>
          <w:p>
            <w:pPr>
              <w:spacing w:after="0"/>
              <w:rPr>
                <w:sz w:val="15"/>
                <w:szCs w:val="15"/>
                <w:color w:val="auto"/>
              </w:rPr>
            </w:pP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EXERCISE</w:t>
            </w:r>
          </w:p>
        </w:tc>
        <w:tc>
          <w:tcPr>
            <w:tcW w:w="13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NUMBER</w:t>
            </w: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REMAINING</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WEIGHTED-AVERAGE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OUTSTANDING</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PRICES</w:t>
            </w:r>
          </w:p>
        </w:tc>
        <w:tc>
          <w:tcPr>
            <w:tcW w:w="13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OUTSTANDING</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CONTRACTUAL LIFE</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EXERCISE PRICE</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AND VESTED</w:t>
            </w:r>
          </w:p>
        </w:tc>
        <w:tc>
          <w:tcPr>
            <w:tcW w:w="16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EXERCISE PRICE</w:t>
            </w:r>
          </w:p>
        </w:tc>
      </w:tr>
      <w:tr>
        <w:trPr>
          <w:trHeight w:val="176"/>
        </w:trPr>
        <w:tc>
          <w:tcPr>
            <w:tcW w:w="182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5,000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6.30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$0.05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$0.05</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528,650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7.40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$0.50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307,685</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$0.50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184,475</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7.90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$1.50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103,658</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$1.50</w:t>
            </w: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748,600</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9.50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$3.00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80,730</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$3.00</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r>
        <w:trPr>
          <w:trHeight w:val="176"/>
        </w:trPr>
        <w:tc>
          <w:tcPr>
            <w:tcW w:w="1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$0.05-$3.00........</w:t>
            </w: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1,466,725</w:t>
            </w:r>
          </w:p>
        </w:tc>
        <w:tc>
          <w:tcPr>
            <w:tcW w:w="1560" w:type="dxa"/>
            <w:vAlign w:val="bottom"/>
          </w:tcPr>
          <w:p>
            <w:pPr>
              <w:jc w:val="center"/>
              <w:ind w:right="4"/>
              <w:spacing w:after="0"/>
              <w:rPr>
                <w:sz w:val="20"/>
                <w:szCs w:val="20"/>
                <w:color w:val="auto"/>
              </w:rPr>
            </w:pPr>
            <w:r>
              <w:rPr>
                <w:rFonts w:ascii="Courier New" w:cs="Courier New" w:eastAsia="Courier New" w:hAnsi="Courier New"/>
                <w:sz w:val="15"/>
                <w:szCs w:val="15"/>
                <w:color w:val="auto"/>
                <w:w w:val="99"/>
              </w:rPr>
              <w:t>8.50</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$1.90</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492,073</w:t>
            </w:r>
          </w:p>
        </w:tc>
        <w:tc>
          <w:tcPr>
            <w:tcW w:w="16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$1.12</w:t>
            </w:r>
          </w:p>
        </w:tc>
      </w:tr>
      <w:tr>
        <w:trPr>
          <w:trHeight w:val="176"/>
        </w:trPr>
        <w:tc>
          <w:tcPr>
            <w:tcW w:w="1820" w:type="dxa"/>
            <w:vAlign w:val="bottom"/>
          </w:tcPr>
          <w:p>
            <w:pPr>
              <w:spacing w:after="0"/>
              <w:rPr>
                <w:sz w:val="15"/>
                <w:szCs w:val="15"/>
                <w:color w:val="auto"/>
              </w:rPr>
            </w:pPr>
          </w:p>
        </w:tc>
        <w:tc>
          <w:tcPr>
            <w:tcW w:w="13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979" w:firstLine="458"/>
        <w:spacing w:after="0" w:line="248" w:lineRule="auto"/>
        <w:rPr>
          <w:sz w:val="20"/>
          <w:szCs w:val="20"/>
          <w:color w:val="auto"/>
        </w:rPr>
      </w:pPr>
      <w:r>
        <w:rPr>
          <w:rFonts w:ascii="Courier New" w:cs="Courier New" w:eastAsia="Courier New" w:hAnsi="Courier New"/>
          <w:sz w:val="15"/>
          <w:szCs w:val="15"/>
          <w:color w:val="auto"/>
        </w:rPr>
        <w:t>Under the 1996 Plan, the Company may also grant rights to purchase restricted stock. Terms and conditions of these rights are determined by the Board of Directors. However, no right shall be granted at an exercise price which is less than 85% of the fair value of the Company's common stock on the date of grant. Exercise of these share purchase rights are made pursuant to restricted stock purchase agreements containing provisions established by the Board of Directors. These provisions give the Company the right to repurchase the shares at the original purchase price of the stock. The right expires at a rate determined by the Board of Directors, generally at a rate of 12.5% after 6 months and 1/48 per month thereafter. For the years ended December 31, 1997,</w:t>
      </w:r>
    </w:p>
    <w:p>
      <w:pPr>
        <w:spacing w:after="0" w:line="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1998 and 1999 and for the three months ended March 31, 2000, the Company issued 2,585,950, 402,750, 691,050 and 373,850 shares under the 1996 Plan at a weighted-average exercise price of $0.56, $2.33, $3.00 and $3.00, respectively. For the years ended December 31, 1997, 1998 and 1999 and for the three months ended March 31, 2000, the Company repurchased 113,333, 76,086, 117,677 and 6,334 shares under the 1996 Plan.</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50" w:lineRule="auto"/>
        <w:rPr>
          <w:sz w:val="20"/>
          <w:szCs w:val="20"/>
          <w:color w:val="auto"/>
        </w:rPr>
      </w:pPr>
      <w:r>
        <w:rPr>
          <w:rFonts w:ascii="Courier New" w:cs="Courier New" w:eastAsia="Courier New" w:hAnsi="Courier New"/>
          <w:sz w:val="15"/>
          <w:szCs w:val="15"/>
          <w:color w:val="auto"/>
        </w:rPr>
        <w:t>As of December 31, 1999 and March 31, 2000, 203,997 and 334,472 shares were available for future grant under the 1996 Plan.</w:t>
      </w:r>
    </w:p>
    <w:p>
      <w:pPr>
        <w:spacing w:after="0" w:line="200" w:lineRule="exact"/>
        <w:rPr>
          <w:sz w:val="20"/>
          <w:szCs w:val="20"/>
          <w:color w:val="auto"/>
        </w:rPr>
      </w:pPr>
    </w:p>
    <w:p>
      <w:pPr>
        <w:spacing w:after="0" w:line="327"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For the years ended December 31, 1997, 1998 and 1999 and for the three months ended March 31, 2000, the Company recorded deferred stock compensation of $3,259,000, $865,000, $619,000 and $2,461,000, respectively, representing the difference between the exercise price and the fair value for accounting purposes of the Company's common stock on the date such options were granted. For the years ended December 31, 1997, 1998 and 1999 and for the three months ended March 31, 2000, the Company recorded amortization of deferred stock compensation of $1.4 million, $1.6 million, $0.8 million and $0.3 million, respectively. As of December 31, 1999 and March 31, 2000, the Company had $0.9 million and $3.1 million of remaining unamortized deferred compensation. Such amount is included as a reduction of stockholders' equity and is being amortized over the vesting period of the underlying options using a graded-vesting method.</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Pro forma information regarding net loss is required by SFAS No. 123, as if the Company had accounted for its employee stock options under the fair value method of SFAS No. 123. Option valuation models require the input of highly subjective assumptions. Because the Company's employee stock options have characteristics significantly different from those of traded options, and because changes in the subjective input assumptions can materially affect the fair value estimate, in</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294"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9. STOCKHOLDERS' EQUITY (CONTINUED)</w:t>
      </w:r>
    </w:p>
    <w:p>
      <w:pPr>
        <w:spacing w:after="0" w:line="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management's opinion, the existing models do not necessarily provide a reliable measure of the fair value of its employee stock options.</w:t>
      </w:r>
    </w:p>
    <w:p>
      <w:pPr>
        <w:spacing w:after="0" w:line="351" w:lineRule="exact"/>
        <w:rPr>
          <w:sz w:val="20"/>
          <w:szCs w:val="20"/>
          <w:color w:val="auto"/>
        </w:rPr>
      </w:pPr>
    </w:p>
    <w:p>
      <w:pPr>
        <w:ind w:right="2899" w:firstLine="458"/>
        <w:spacing w:after="0" w:line="248" w:lineRule="auto"/>
        <w:rPr>
          <w:sz w:val="20"/>
          <w:szCs w:val="20"/>
          <w:color w:val="auto"/>
        </w:rPr>
      </w:pPr>
      <w:r>
        <w:rPr>
          <w:rFonts w:ascii="Courier New" w:cs="Courier New" w:eastAsia="Courier New" w:hAnsi="Courier New"/>
          <w:sz w:val="15"/>
          <w:szCs w:val="15"/>
          <w:color w:val="auto"/>
        </w:rPr>
        <w:t>For purposes of the pro forma disclosures, the estimated fair value of the options is amortized to expense over the options' vesting period. The weighted-average fair value of these options was $1.41, $2.53, $1.37 and $7.31 for the years ended December 31, 1997, 1998 and 1999 and for the three months ended March 31, 2000, respectively. The fair value of these options was estimated at the date of grant using the Black-Scholes option pricing model and a graded-vesting approach using the following weighted-average assumptions for 1997, 1998 and 1999 and for the three months ended March 31, 2000, respectively: risk-free interest rate of 6.5%, 5.5%, 5.9% and 5.9%, a weighted-average expected option life of 2.16, 2.50, 2.50 and 2.50 years; no volatility and no annual dividends. The Company's pro forma net loss was $23.7 million, $29.7 million, $18.7 million and $5.1 million for the years ended December 31, 1997, 1998 and 1999 and for the three months ended March 31, 2000, respectively. The Company's pro forma net loss per share was $11.29, $8.21, $3.87 and $0.91 for the years ended December 31, 1997, 1998 and 1999 and for the three months ended March 31, 2000, respectively. Future pro forma results of operations may be materially different from amounts reported as future years will include the effects of additional stock option grants.</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w:t>
      </w:r>
    </w:p>
    <w:p>
      <w:pPr>
        <w:spacing w:after="0" w:line="182"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 (in thousands):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3"/>
          </w:tcPr>
          <w:p>
            <w:pPr>
              <w:jc w:val="right"/>
              <w:ind w:right="2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840" w:type="dxa"/>
            <w:vAlign w:val="bottom"/>
          </w:tcPr>
          <w:p>
            <w:pPr>
              <w:spacing w:after="0"/>
              <w:rPr>
                <w:sz w:val="15"/>
                <w:szCs w:val="15"/>
                <w:color w:val="auto"/>
              </w:rPr>
            </w:pPr>
          </w:p>
        </w:tc>
        <w:tc>
          <w:tcPr>
            <w:tcW w:w="184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4"/>
              </w:rPr>
              <w:t>1998</w:t>
            </w:r>
          </w:p>
        </w:tc>
        <w:tc>
          <w:tcPr>
            <w:tcW w:w="22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4"/>
              </w:rPr>
              <w:t>1999</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840" w:type="dxa"/>
            <w:vAlign w:val="bottom"/>
          </w:tcPr>
          <w:p>
            <w:pPr>
              <w:jc w:val="right"/>
              <w:ind w:right="2944"/>
              <w:spacing w:after="0"/>
              <w:rPr>
                <w:sz w:val="20"/>
                <w:szCs w:val="20"/>
                <w:color w:val="auto"/>
              </w:rPr>
            </w:pPr>
            <w:r>
              <w:rPr>
                <w:rFonts w:ascii="Courier New" w:cs="Courier New" w:eastAsia="Courier New" w:hAnsi="Courier New"/>
                <w:sz w:val="15"/>
                <w:szCs w:val="15"/>
                <w:color w:val="auto"/>
                <w:w w:val="99"/>
              </w:rPr>
              <w:t>Deferred tax assets: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operating loss carryforwards..................</w:t>
            </w: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$13,500</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$16,100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Research credits..................................</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Capitalized research and development..............</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Expenses not currently deductible.................</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9,400</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20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23,100</w:t>
            </w:r>
          </w:p>
        </w:tc>
        <w:tc>
          <w:tcPr>
            <w:tcW w:w="22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29,100</w:t>
            </w:r>
          </w:p>
        </w:tc>
      </w:tr>
      <w:tr>
        <w:trPr>
          <w:trHeight w:val="176"/>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Valuation allowance.................................</w:t>
            </w:r>
          </w:p>
        </w:tc>
        <w:tc>
          <w:tcPr>
            <w:tcW w:w="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(23,100)</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(29,100)</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840" w:type="dxa"/>
            <w:vAlign w:val="bottom"/>
          </w:tcPr>
          <w:p>
            <w:pPr>
              <w:spacing w:after="0"/>
              <w:rPr>
                <w:sz w:val="15"/>
                <w:szCs w:val="15"/>
                <w:color w:val="auto"/>
              </w:rPr>
            </w:pPr>
          </w:p>
        </w:tc>
        <w:tc>
          <w:tcPr>
            <w:tcW w:w="9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Realization of deferred tax assets is dependent upon future earnings the timing and amount of which are uncertain. Accordingly, the net deferred tax assets have been fully offset by a valuation allowance. The valuation allowance increased by $9.8 million and $11.7 million during the years ended December 31, 1997 and 1998, respectively.</w:t>
      </w:r>
    </w:p>
    <w:p>
      <w:pPr>
        <w:spacing w:after="0" w:line="176"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As of December 31, 1999, the Company had net operating loss carryforwards for federal income tax purposes of approximately $44.8 million, which expire in the years 2010 through 2019. The Company also had net operating loss carryforwards for state income tax purposes of approximately $13.8 million, which expire in the years 2003 through 2004. The Company also had federal and state research credit carryforwards of $2.0 million.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94"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118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INCOME TAXES (CONTINUED)</w:t>
      </w:r>
    </w:p>
    <w:p>
      <w:pPr>
        <w:spacing w:after="0" w:line="6" w:lineRule="exact"/>
        <w:rPr>
          <w:sz w:val="20"/>
          <w:szCs w:val="20"/>
          <w:color w:val="auto"/>
        </w:rPr>
      </w:pPr>
    </w:p>
    <w:p>
      <w:pPr>
        <w:ind w:right="3079" w:firstLine="458"/>
        <w:spacing w:after="0" w:line="249" w:lineRule="auto"/>
        <w:rPr>
          <w:sz w:val="20"/>
          <w:szCs w:val="20"/>
          <w:color w:val="auto"/>
        </w:rPr>
      </w:pPr>
      <w:r>
        <w:rPr>
          <w:rFonts w:ascii="Courier New" w:cs="Courier New" w:eastAsia="Courier New" w:hAnsi="Courier New"/>
          <w:sz w:val="15"/>
          <w:szCs w:val="15"/>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OTHER EVENTS SUBSEQUENT TO THE AUDITOR'S REPORT (UNAUDITED)</w:t>
      </w:r>
    </w:p>
    <w:p>
      <w:pPr>
        <w:spacing w:after="0" w:line="200" w:lineRule="exact"/>
        <w:rPr>
          <w:sz w:val="20"/>
          <w:szCs w:val="20"/>
          <w:color w:val="auto"/>
        </w:rPr>
      </w:pPr>
    </w:p>
    <w:p>
      <w:pPr>
        <w:spacing w:after="0" w:line="33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April 2000, the Company entered into an agreement with Heartport, Inc. to exclusively license a number of Heartport's patents in exchange for cash of $3.0 million and a warrant to purchase 200,000 shares of common stock at an exercise price of $3.00 per share. The Company anticipates that a charge of approximately $5.0 million will be recorded as a result of this agreement which will be amortized over the estimated useful life of the patents.</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94" w:right="1440" w:bottom="1440" w:gutter="0" w:footer="0" w:header="0"/>
        </w:sectPr>
      </w:pPr>
    </w:p>
    <w:bookmarkStart w:id="97" w:name="page98"/>
    <w:bookmarkEnd w:id="97"/>
    <w:p>
      <w:pPr>
        <w:spacing w:after="0"/>
        <w:rPr>
          <w:sz w:val="20"/>
          <w:szCs w:val="20"/>
          <w:color w:val="auto"/>
        </w:rPr>
      </w:pPr>
      <w:r>
        <w:rPr>
          <w:rFonts w:ascii="Courier New" w:cs="Courier New" w:eastAsia="Courier New" w:hAnsi="Courier New"/>
          <w:sz w:val="15"/>
          <w:szCs w:val="15"/>
          <w:color w:val="auto"/>
        </w:rPr>
        <w:t>94</w:t>
      </w:r>
    </w:p>
    <w:p>
      <w:pPr>
        <w:spacing w:after="0" w:line="18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INTUITIVE LOGO</w:t>
      </w:r>
    </w:p>
    <w:p>
      <w:pPr>
        <w:spacing w:after="0" w:line="18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LOGO</w:t>
      </w:r>
    </w:p>
    <w:p>
      <w:pPr>
        <w:sectPr>
          <w:pgSz w:w="11900" w:h="16838" w:orient="portrait"/>
          <w:cols w:equalWidth="0" w:num="1">
            <w:col w:w="9959"/>
          </w:cols>
          <w:pgMar w:left="500" w:top="294"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95</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PART II</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2" w:lineRule="exact"/>
        <w:rPr>
          <w:sz w:val="20"/>
          <w:szCs w:val="20"/>
          <w:color w:val="auto"/>
        </w:rPr>
      </w:pPr>
    </w:p>
    <w:p>
      <w:pPr>
        <w:ind w:right="3259" w:firstLine="458"/>
        <w:spacing w:after="0" w:line="249" w:lineRule="auto"/>
        <w:rPr>
          <w:sz w:val="20"/>
          <w:szCs w:val="20"/>
          <w:color w:val="auto"/>
        </w:rPr>
      </w:pPr>
      <w:r>
        <w:rPr>
          <w:rFonts w:ascii="Courier New" w:cs="Courier New" w:eastAsia="Courier New" w:hAnsi="Courier New"/>
          <w:sz w:val="15"/>
          <w:szCs w:val="15"/>
          <w:color w:val="auto"/>
        </w:rPr>
        <w:t>The following table sets forth the costs and expenses, other than underwriting discounts and commissions, payable by us in connection with the sale of the common stock being registered hereby. All amounts are estimates except the SEC registration fee and the NASD filing fee.</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SEC registration fee......................................</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30,360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Nasdaq National Market listing fee........................</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NASD filing fee...........................................</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Blue sky qualification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Printing and engraving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Legal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Accounting fees and expenses..............................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Transfer agent and registrar fees.........................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Miscellaneous.............................................</w:t>
            </w:r>
          </w:p>
        </w:tc>
        <w:tc>
          <w:tcPr>
            <w:tcW w:w="2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17,640</w:t>
            </w:r>
          </w:p>
        </w:tc>
      </w:tr>
      <w:tr>
        <w:trPr>
          <w:trHeight w:val="176"/>
        </w:trPr>
        <w:tc>
          <w:tcPr>
            <w:tcW w:w="54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Total.............................................</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$1,025,000</w:t>
            </w:r>
          </w:p>
        </w:tc>
      </w:tr>
      <w:tr>
        <w:trPr>
          <w:trHeight w:val="176"/>
        </w:trPr>
        <w:tc>
          <w:tcPr>
            <w:tcW w:w="540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We intend to pay all expenses of registration, issuance and distribution.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As permitted by Delaware law, our amended and restated certificate of incorporation provides that our directors will not be personally liable to us or our stockholders for monetary damages for a breach of their fiduciary duty as a director, except for liability:</w:t>
      </w:r>
    </w:p>
    <w:p>
      <w:pPr>
        <w:spacing w:after="0" w:line="352" w:lineRule="exact"/>
        <w:rPr>
          <w:sz w:val="20"/>
          <w:szCs w:val="20"/>
          <w:color w:val="auto"/>
        </w:rPr>
      </w:pPr>
    </w:p>
    <w:p>
      <w:pPr>
        <w:ind w:left="640" w:hanging="188"/>
        <w:spacing w:after="0"/>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duty of loyalty to us or to our stockholders;</w:t>
      </w:r>
    </w:p>
    <w:p>
      <w:pPr>
        <w:spacing w:after="0" w:line="182" w:lineRule="exact"/>
        <w:rPr>
          <w:rFonts w:ascii="Courier New" w:cs="Courier New" w:eastAsia="Courier New" w:hAnsi="Courier New"/>
          <w:sz w:val="15"/>
          <w:szCs w:val="15"/>
          <w:color w:val="auto"/>
        </w:rPr>
      </w:pPr>
    </w:p>
    <w:p>
      <w:pPr>
        <w:ind w:left="640" w:right="3439" w:hanging="188"/>
        <w:spacing w:after="0" w:line="250" w:lineRule="auto"/>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that involve intentional misconduct or a knowing violation of law;</w:t>
      </w:r>
    </w:p>
    <w:p>
      <w:pPr>
        <w:spacing w:after="0" w:line="174" w:lineRule="exact"/>
        <w:rPr>
          <w:rFonts w:ascii="Courier New" w:cs="Courier New" w:eastAsia="Courier New" w:hAnsi="Courier New"/>
          <w:sz w:val="15"/>
          <w:szCs w:val="15"/>
          <w:color w:val="auto"/>
        </w:rPr>
      </w:pPr>
    </w:p>
    <w:p>
      <w:pPr>
        <w:ind w:left="640" w:hanging="188"/>
        <w:spacing w:after="0"/>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174 of the Delaware General Corporation Law; or</w:t>
      </w:r>
    </w:p>
    <w:p>
      <w:pPr>
        <w:spacing w:after="0" w:line="182" w:lineRule="exact"/>
        <w:rPr>
          <w:rFonts w:ascii="Courier New" w:cs="Courier New" w:eastAsia="Courier New" w:hAnsi="Courier New"/>
          <w:sz w:val="15"/>
          <w:szCs w:val="15"/>
          <w:color w:val="auto"/>
        </w:rPr>
      </w:pPr>
    </w:p>
    <w:p>
      <w:pPr>
        <w:ind w:left="640" w:right="2979" w:hanging="188"/>
        <w:spacing w:after="0" w:line="250" w:lineRule="auto"/>
        <w:tabs>
          <w:tab w:leader="none" w:pos="64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pacing w:after="0" w:line="175"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Our amended and restated certificate of incorporation further provides that we must indemnify our directors and executive officers and may indemnify our other officers and employees and agents to the fullest extent permitted by Delaware law. We believe that indemnification under our amended and restated certificate of incorporation covers negligence and gross negligence on the part of indemnified parties.</w:t>
      </w:r>
    </w:p>
    <w:p>
      <w:pPr>
        <w:spacing w:after="0" w:line="176"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We will enter into indemnification agreements with each of our directors and officers. These agreements, among other things, require us to indemnify each director and officer for some expenses including attorneys' fees, judgments, fines and settlement amounts incurred by any of these persons in any action or proceeding, including any action by or in the right of Intuitive Surgical, arising out of person's services as our director or officer, any subsidiary of ours or any other company or enterprise to which the person provides services at our request.</w:t>
      </w:r>
    </w:p>
    <w:p>
      <w:pPr>
        <w:spacing w:after="0" w:line="175"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The underwriting agreement (Exhibit 1.1) will provide for indemnification by the underwriters of Intuitive Surgical, our directors, our officers who sign the registration statement, and our controlling persons for some liabilities, including liabilities arising under the Securities Act.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94"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2" w:lineRule="exact"/>
        <w:rPr>
          <w:sz w:val="20"/>
          <w:szCs w:val="20"/>
          <w:color w:val="auto"/>
        </w:rPr>
      </w:pPr>
    </w:p>
    <w:p>
      <w:pPr>
        <w:ind w:right="3619" w:firstLine="458"/>
        <w:spacing w:after="0" w:line="250" w:lineRule="auto"/>
        <w:rPr>
          <w:sz w:val="20"/>
          <w:szCs w:val="20"/>
          <w:color w:val="auto"/>
        </w:rPr>
      </w:pPr>
      <w:r>
        <w:rPr>
          <w:rFonts w:ascii="Courier New" w:cs="Courier New" w:eastAsia="Courier New" w:hAnsi="Courier New"/>
          <w:sz w:val="15"/>
          <w:szCs w:val="15"/>
          <w:color w:val="auto"/>
        </w:rPr>
        <w:t>Since inception, we have sold and issued the following unregistered securities:</w:t>
      </w:r>
    </w:p>
    <w:p>
      <w:pPr>
        <w:spacing w:after="0" w:line="351" w:lineRule="exact"/>
        <w:rPr>
          <w:sz w:val="20"/>
          <w:szCs w:val="20"/>
          <w:color w:val="auto"/>
        </w:rPr>
      </w:pPr>
    </w:p>
    <w:p>
      <w:pPr>
        <w:ind w:left="460" w:right="289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November 1995 through the date hereof, Intuitive Surgical has granted stock options to purchase 4,655,600 shares of the common stock to employees, consultants and directors pursuant to its 2000 Equity Incentive Plan. Of these options, 293,104 shares have been canceled without being exercised, 2,562,978 shares have been exercised, 313,430 shares of which have been repurchased, and 1,799,518 shares remain outstanding. From November 1995 through the date hereof, the Registrant has also granted stock awards to purchase 160,000 shares of common stock to consultants pursuant to the Incentive Plan. Of these stock awards, no shares have been canceled or repurchased and all 160,000 shares remain outstanding.</w:t>
      </w:r>
    </w:p>
    <w:p>
      <w:pPr>
        <w:spacing w:after="0" w:line="351"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1995 and December 1995, Intuitive Surgical issued an aggregate of 3,385,000 shares of common stock to 14 purchasers at $0.001 per share, for an aggregate purchase price of $3,385.</w:t>
      </w:r>
    </w:p>
    <w:p>
      <w:pPr>
        <w:spacing w:after="0" w:line="175" w:lineRule="exact"/>
        <w:rPr>
          <w:rFonts w:ascii="Courier New" w:cs="Courier New" w:eastAsia="Courier New" w:hAnsi="Courier New"/>
          <w:sz w:val="15"/>
          <w:szCs w:val="15"/>
          <w:color w:val="auto"/>
        </w:rPr>
      </w:pPr>
    </w:p>
    <w:p>
      <w:pPr>
        <w:ind w:left="460" w:right="297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1995 and January 1996, Intuitive Surgical issued an aggregate of 5,442,500 shares of Series A preferred stock to 13 purchasers at $1.00 per share, for an aggregate purchase price of $5,442,500. Shares of Series A preferred stock are convertible into shares of common stock at the rate of one share of common stock for each share of Series A preferred stock owned.</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Intuitive Surgical issued an aggregate of 470,000 shares of Series B preferred stock to one purchaser at $0.10 per share, for an aggregate purchase price of $47,000. Shares of Series B preferred stock are convertible into shares of common stock at the rate of one share of common stock for each share of Series B preferred stock owned.</w:t>
      </w:r>
    </w:p>
    <w:p>
      <w:pPr>
        <w:spacing w:after="0" w:line="175" w:lineRule="exact"/>
        <w:rPr>
          <w:rFonts w:ascii="Courier New" w:cs="Courier New" w:eastAsia="Courier New" w:hAnsi="Courier New"/>
          <w:sz w:val="15"/>
          <w:szCs w:val="15"/>
          <w:color w:val="auto"/>
        </w:rPr>
      </w:pPr>
    </w:p>
    <w:p>
      <w:pPr>
        <w:ind w:left="460" w:right="2979" w:firstLine="450"/>
        <w:spacing w:after="0" w:line="250"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May 1996, Intuitive Surgical issued 50,000 shares of common stock to one purchaser at $0.05 per share, for a purchase price of $2,500.</w:t>
      </w:r>
    </w:p>
    <w:p>
      <w:pPr>
        <w:spacing w:after="0" w:line="174" w:lineRule="exact"/>
        <w:rPr>
          <w:rFonts w:ascii="Courier New" w:cs="Courier New" w:eastAsia="Courier New" w:hAnsi="Courier New"/>
          <w:sz w:val="15"/>
          <w:szCs w:val="15"/>
          <w:color w:val="auto"/>
        </w:rPr>
      </w:pPr>
    </w:p>
    <w:p>
      <w:pPr>
        <w:ind w:left="460" w:right="3259" w:firstLine="450"/>
        <w:spacing w:after="0" w:line="250"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Intuitive Surgical issued 3,000 shares of common stock for services rendered to one purchaser at $0.05 per share.</w:t>
      </w:r>
    </w:p>
    <w:p>
      <w:pPr>
        <w:spacing w:after="0" w:line="174"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1996 and January 1997, Intuitive Surgical issued an aggregate of 910,000 shares of common stock to four purchasers at $0.05 per share, for an aggregate purchase price of $45,500.</w:t>
      </w:r>
    </w:p>
    <w:p>
      <w:pPr>
        <w:spacing w:after="0" w:line="175" w:lineRule="exact"/>
        <w:rPr>
          <w:rFonts w:ascii="Courier New" w:cs="Courier New" w:eastAsia="Courier New" w:hAnsi="Courier New"/>
          <w:sz w:val="15"/>
          <w:szCs w:val="15"/>
          <w:color w:val="auto"/>
        </w:rPr>
      </w:pPr>
    </w:p>
    <w:p>
      <w:pPr>
        <w:ind w:left="460" w:right="289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1997 and March 1997, Intuitive Surgical issued an aggregate of 6,000,000 shares of Series C preferred stock to 21 purchasers at a purchase price of $5.00 per share, for an aggregate purchase price of $30,000,000. Shares of Series C preferred stock are convertible into shares of common stock at the rate of one share of common stock for each share of Series C preferred stock owned.</w:t>
      </w:r>
    </w:p>
    <w:p>
      <w:pPr>
        <w:spacing w:after="0" w:line="351" w:lineRule="exact"/>
        <w:rPr>
          <w:rFonts w:ascii="Courier New" w:cs="Courier New" w:eastAsia="Courier New" w:hAnsi="Courier New"/>
          <w:sz w:val="15"/>
          <w:szCs w:val="15"/>
          <w:color w:val="auto"/>
        </w:rPr>
      </w:pPr>
    </w:p>
    <w:p>
      <w:pPr>
        <w:ind w:left="460" w:right="3079" w:firstLine="450"/>
        <w:spacing w:after="0" w:line="249" w:lineRule="auto"/>
        <w:tabs>
          <w:tab w:leader="none" w:pos="12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1997, Intuitive Surgical issued a warrant to purchase 11,000 shares of common stock to Lease Management Services, Inc., for an exercise price of $5.00 per share, issuable upon exercise of the warrant.</w:t>
      </w:r>
    </w:p>
    <w:p>
      <w:pPr>
        <w:spacing w:after="0" w:line="352" w:lineRule="exact"/>
        <w:rPr>
          <w:rFonts w:ascii="Courier New" w:cs="Courier New" w:eastAsia="Courier New" w:hAnsi="Courier New"/>
          <w:sz w:val="15"/>
          <w:szCs w:val="15"/>
          <w:color w:val="auto"/>
        </w:rPr>
      </w:pPr>
    </w:p>
    <w:p>
      <w:pPr>
        <w:ind w:left="1360" w:hanging="450"/>
        <w:spacing w:after="0"/>
        <w:tabs>
          <w:tab w:leader="none" w:pos="1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an aggregate of</w:t>
      </w:r>
    </w:p>
    <w:p>
      <w:pPr>
        <w:spacing w:after="0" w:line="6"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2,125,000 shares of Series D preferred stock to 23 purchasers at a purchase price of $8.00 per share for an aggregate purchase price of $17,000,000. Shares of Series D preferred stock are convertible into shares of common stock at the rate of one share of common stock for each share of Series D preferred stock owned.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94"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97</w:t>
      </w:r>
    </w:p>
    <w:p>
      <w:pPr>
        <w:spacing w:after="0" w:line="359" w:lineRule="exact"/>
        <w:rPr>
          <w:sz w:val="20"/>
          <w:szCs w:val="20"/>
          <w:color w:val="auto"/>
        </w:rPr>
      </w:pPr>
    </w:p>
    <w:p>
      <w:pPr>
        <w:ind w:left="460" w:right="2979" w:firstLine="450"/>
        <w:spacing w:after="0" w:line="249" w:lineRule="auto"/>
        <w:tabs>
          <w:tab w:leader="none" w:pos="137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Intuitive Surgical issued 25,000 shares of common stock to one purchaser for services rendered in connection with the Series D preferred stock financing.</w:t>
      </w:r>
    </w:p>
    <w:p>
      <w:pPr>
        <w:spacing w:after="0" w:line="352" w:lineRule="exact"/>
        <w:rPr>
          <w:rFonts w:ascii="Courier New" w:cs="Courier New" w:eastAsia="Courier New" w:hAnsi="Courier New"/>
          <w:sz w:val="15"/>
          <w:szCs w:val="15"/>
          <w:color w:val="auto"/>
        </w:rPr>
      </w:pPr>
    </w:p>
    <w:p>
      <w:pPr>
        <w:ind w:left="460" w:right="2899" w:firstLine="450"/>
        <w:spacing w:after="0" w:line="250" w:lineRule="auto"/>
        <w:tabs>
          <w:tab w:leader="none" w:pos="137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1998, Intuitive Surgical issued 10,000 shares of common stock to one purchaser at $3.00 per share, for a purchase price of $30,000.</w:t>
      </w:r>
    </w:p>
    <w:p>
      <w:pPr>
        <w:spacing w:after="0" w:line="174" w:lineRule="exact"/>
        <w:rPr>
          <w:rFonts w:ascii="Courier New" w:cs="Courier New" w:eastAsia="Courier New" w:hAnsi="Courier New"/>
          <w:sz w:val="15"/>
          <w:szCs w:val="15"/>
          <w:color w:val="auto"/>
        </w:rPr>
      </w:pPr>
    </w:p>
    <w:p>
      <w:pPr>
        <w:ind w:left="1360" w:hanging="450"/>
        <w:spacing w:after="0"/>
        <w:tabs>
          <w:tab w:leader="none" w:pos="13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July 1998 through May 1999, Intuitive Surgical issued</w:t>
      </w:r>
    </w:p>
    <w:p>
      <w:pPr>
        <w:spacing w:after="0" w:line="6" w:lineRule="exact"/>
        <w:rPr>
          <w:rFonts w:ascii="Courier New" w:cs="Courier New" w:eastAsia="Courier New" w:hAnsi="Courier New"/>
          <w:sz w:val="15"/>
          <w:szCs w:val="15"/>
          <w:color w:val="auto"/>
        </w:rPr>
      </w:pPr>
    </w:p>
    <w:p>
      <w:pPr>
        <w:ind w:left="460" w:right="289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5,096,875 shares of Series E preferred stock to 43 purchasers at a purchase price of $8.00 per share for an aggregate purchase price of $40,775,000. Shares of Series E preferred stock are convertible into shares of common stock at the rate of one share of common stock for each share of Series E preferred stock owned.</w:t>
      </w:r>
    </w:p>
    <w:p>
      <w:pPr>
        <w:spacing w:after="0" w:line="351"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March 1999 through May 1999, Intuitive Surgical issued warrants to purchase up to 5,096,875 shares of Series F preferred stock at an exercise price of $8.00 per share increasing incrementally by $0.1667 on each one-month anniversary from March 31, 1999 up to a maximum of $10.00 per share, to 43 accredited investors.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460" w:right="2899" w:firstLine="450"/>
        <w:spacing w:after="0" w:line="249" w:lineRule="auto"/>
        <w:tabs>
          <w:tab w:leader="none" w:pos="137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2000, Intuitive Surgical issued 3,593,875 shares of Series F preferred stock to 41 purchasers upon exercise of warrants at an exercise price of $9.84 per share for an aggregate purchase price of $35,363,730. Shares of Series F preferred stock are convertible into shares of common stock at the rate of one share of common stock for each share of Series F preferred stock owned.</w:t>
      </w:r>
    </w:p>
    <w:p>
      <w:pPr>
        <w:spacing w:after="0" w:line="200" w:lineRule="exact"/>
        <w:rPr>
          <w:rFonts w:ascii="Courier New" w:cs="Courier New" w:eastAsia="Courier New" w:hAnsi="Courier New"/>
          <w:sz w:val="15"/>
          <w:szCs w:val="15"/>
          <w:color w:val="auto"/>
        </w:rPr>
      </w:pPr>
    </w:p>
    <w:p>
      <w:pPr>
        <w:spacing w:after="0" w:line="327" w:lineRule="exact"/>
        <w:rPr>
          <w:rFonts w:ascii="Courier New" w:cs="Courier New" w:eastAsia="Courier New" w:hAnsi="Courier New"/>
          <w:sz w:val="15"/>
          <w:szCs w:val="15"/>
          <w:color w:val="auto"/>
        </w:rPr>
      </w:pPr>
    </w:p>
    <w:p>
      <w:pPr>
        <w:ind w:left="460" w:right="3179" w:firstLine="450"/>
        <w:spacing w:after="0" w:line="249" w:lineRule="auto"/>
        <w:tabs>
          <w:tab w:leader="none" w:pos="137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2000, Intuitive Surgical issued a warrant to purchase 200,000 shares of common stock to an accredited investor at an exercise price of $3.00 per share, issuable upon exercise of the warrant.</w:t>
      </w:r>
    </w:p>
    <w:p>
      <w:pPr>
        <w:spacing w:after="0" w:line="200" w:lineRule="exact"/>
        <w:rPr>
          <w:sz w:val="20"/>
          <w:szCs w:val="20"/>
          <w:color w:val="auto"/>
        </w:rPr>
      </w:pPr>
    </w:p>
    <w:p>
      <w:pPr>
        <w:spacing w:after="0" w:line="328"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The sales and issuances of securities described in paragraph (1) above were deemed to be exempt from registration under the Securities Act by virtue of Rule 701 of the Securities Act in that they were offered and sold either pursuant to a written compensatory benefit plan or pursuant to a written contract relating to compensation, as provided by Rule 701. The sales and issuances of securities described in paragraphs (2) through (16) above were deemed to be exempt from registration under the Securities Act by virtue of Rule 4(2), Regulation D or Regulation S promulgated thereunder. With respect to the grant of options described in paragraph (1), an exemption from registration was unnecessary in that none of the transactions involved a "sale" of securities as such term is used in Section 2(3) of the Act.</w:t>
      </w:r>
    </w:p>
    <w:p>
      <w:pPr>
        <w:spacing w:after="0" w:line="351"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Appropriate legends are affixed to the stock certificates issued in the aforementioned transactions. Similar legends were imposed in connection with any subsequent sales of any such securities. All recipients either received adequate information about Intuitive Surgical or had access, through employment or other relationships, to such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2" w:lineRule="exact"/>
        <w:rPr>
          <w:sz w:val="20"/>
          <w:szCs w:val="20"/>
          <w:color w:val="auto"/>
        </w:rPr>
      </w:pPr>
    </w:p>
    <w:p>
      <w:pPr>
        <w:ind w:right="3999" w:firstLine="452"/>
        <w:spacing w:after="0" w:line="250" w:lineRule="auto"/>
        <w:tabs>
          <w:tab w:leader="none" w:pos="8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list of exhibits filed as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540" w:type="dxa"/>
            <w:vAlign w:val="bottom"/>
          </w:tcPr>
          <w:p>
            <w:pPr>
              <w:spacing w:after="0"/>
              <w:rPr>
                <w:sz w:val="14"/>
                <w:szCs w:val="14"/>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5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52"/>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3.1.1</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Certificate of Amendment of Restated Certificate of</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Incorporation of the Registrant.</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6"/>
        </w:trPr>
        <w:tc>
          <w:tcPr>
            <w:tcW w:w="860" w:type="dxa"/>
            <w:vAlign w:val="bottom"/>
          </w:tcPr>
          <w:p>
            <w:pPr>
              <w:spacing w:after="0"/>
              <w:rPr>
                <w:sz w:val="15"/>
                <w:szCs w:val="15"/>
                <w:color w:val="auto"/>
              </w:rPr>
            </w:pP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5540" w:type="dxa"/>
            <w:vAlign w:val="bottom"/>
          </w:tcPr>
          <w:p>
            <w:pPr>
              <w:ind w:left="60"/>
              <w:spacing w:after="0"/>
              <w:rPr>
                <w:sz w:val="20"/>
                <w:szCs w:val="20"/>
                <w:color w:val="auto"/>
              </w:rPr>
            </w:pPr>
            <w:r>
              <w:rPr>
                <w:rFonts w:ascii="Courier New" w:cs="Courier New" w:eastAsia="Courier New" w:hAnsi="Courier New"/>
                <w:sz w:val="15"/>
                <w:szCs w:val="15"/>
                <w:color w:val="auto"/>
              </w:rPr>
              <w:t>Bylaws of the Registrant.</w:t>
            </w:r>
          </w:p>
        </w:tc>
      </w:tr>
    </w:tbl>
    <w:p>
      <w:pPr>
        <w:spacing w:after="0" w:line="200" w:lineRule="exact"/>
        <w:rPr>
          <w:sz w:val="20"/>
          <w:szCs w:val="20"/>
          <w:color w:val="auto"/>
        </w:rPr>
      </w:pPr>
    </w:p>
    <w:p>
      <w:pPr>
        <w:sectPr>
          <w:pgSz w:w="11900" w:h="16838" w:orient="portrait"/>
          <w:cols w:equalWidth="0" w:num="1">
            <w:col w:w="10219"/>
          </w:cols>
          <w:pgMar w:left="240" w:top="294" w:right="1440" w:bottom="1021" w:gutter="0" w:footer="0" w:header="0"/>
        </w:sectPr>
      </w:pP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19"/>
          </w:cols>
          <w:pgMar w:left="240" w:top="294" w:right="1440" w:bottom="1021"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860" w:type="dxa"/>
            <w:vAlign w:val="bottom"/>
          </w:tcPr>
          <w:p>
            <w:pPr>
              <w:ind w:left="260"/>
              <w:spacing w:after="0"/>
              <w:rPr>
                <w:sz w:val="20"/>
                <w:szCs w:val="20"/>
                <w:color w:val="auto"/>
              </w:rPr>
            </w:pPr>
            <w:r>
              <w:rPr>
                <w:rFonts w:ascii="Courier New" w:cs="Courier New" w:eastAsia="Courier New" w:hAnsi="Courier New"/>
                <w:sz w:val="15"/>
                <w:szCs w:val="15"/>
                <w:color w:val="auto"/>
              </w:rPr>
              <w:t>98</w:t>
            </w:r>
          </w:p>
        </w:tc>
        <w:tc>
          <w:tcPr>
            <w:tcW w:w="4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881"/>
        </w:trPr>
        <w:tc>
          <w:tcPr>
            <w:tcW w:w="8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420" w:type="dxa"/>
            <w:vAlign w:val="bottom"/>
          </w:tcPr>
          <w:p>
            <w:pPr>
              <w:spacing w:after="0"/>
              <w:rPr>
                <w:sz w:val="15"/>
                <w:szCs w:val="15"/>
                <w:color w:val="auto"/>
              </w:rPr>
            </w:pPr>
          </w:p>
        </w:tc>
        <w:tc>
          <w:tcPr>
            <w:tcW w:w="5040" w:type="dxa"/>
            <w:vAlign w:val="bottom"/>
          </w:tcPr>
          <w:p>
            <w:pPr>
              <w:jc w:val="right"/>
              <w:ind w:right="1584"/>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20" w:type="dxa"/>
            <w:vAlign w:val="bottom"/>
          </w:tcPr>
          <w:p>
            <w:pPr>
              <w:spacing w:after="0"/>
              <w:rPr>
                <w:sz w:val="15"/>
                <w:szCs w:val="15"/>
                <w:color w:val="auto"/>
              </w:rPr>
            </w:pPr>
          </w:p>
        </w:tc>
        <w:tc>
          <w:tcPr>
            <w:tcW w:w="5040" w:type="dxa"/>
            <w:vAlign w:val="bottom"/>
          </w:tcPr>
          <w:p>
            <w:pPr>
              <w:jc w:val="right"/>
              <w:ind w:right="1404"/>
              <w:spacing w:after="0"/>
              <w:rPr>
                <w:sz w:val="20"/>
                <w:szCs w:val="20"/>
                <w:color w:val="auto"/>
              </w:rPr>
            </w:pPr>
            <w:r>
              <w:rPr>
                <w:rFonts w:ascii="Courier New" w:cs="Courier New" w:eastAsia="Courier New" w:hAnsi="Courier New"/>
                <w:sz w:val="15"/>
                <w:szCs w:val="15"/>
                <w:color w:val="auto"/>
              </w:rPr>
              <w:t>-----------------------</w:t>
            </w:r>
          </w:p>
        </w:tc>
      </w:tr>
      <w:tr>
        <w:trPr>
          <w:trHeight w:val="352"/>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Specimen Stock Certificate.</w:t>
            </w:r>
          </w:p>
        </w:tc>
      </w:tr>
      <w:tr>
        <w:trPr>
          <w:trHeight w:val="176"/>
        </w:trPr>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Form of Indemnity Agreement.</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Equity Incentive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6"/>
        </w:trPr>
        <w:tc>
          <w:tcPr>
            <w:tcW w:w="8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31,</w:t>
            </w:r>
          </w:p>
        </w:tc>
        <w:tc>
          <w:tcPr>
            <w:tcW w:w="5040" w:type="dxa"/>
            <w:vAlign w:val="bottom"/>
          </w:tcPr>
          <w:p>
            <w:pPr>
              <w:jc w:val="right"/>
              <w:ind w:right="4504"/>
              <w:spacing w:after="0"/>
              <w:rPr>
                <w:sz w:val="20"/>
                <w:szCs w:val="20"/>
                <w:color w:val="auto"/>
              </w:rPr>
            </w:pPr>
            <w:r>
              <w:rPr>
                <w:rFonts w:ascii="Courier New" w:cs="Courier New" w:eastAsia="Courier New" w:hAnsi="Courier New"/>
                <w:sz w:val="15"/>
                <w:szCs w:val="15"/>
                <w:color w:val="auto"/>
                <w:w w:val="97"/>
              </w:rPr>
              <w:t>1999.</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1997, between the Registrant and Lease Management Services,</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Inc., and related addendums.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amendments.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International Business Machines Corporation.</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Consent of Cooley Godward LLP. Reference is made to Exhibit</w:t>
            </w:r>
          </w:p>
        </w:tc>
      </w:tr>
      <w:tr>
        <w:trPr>
          <w:trHeight w:val="176"/>
        </w:trPr>
        <w:tc>
          <w:tcPr>
            <w:tcW w:w="860" w:type="dxa"/>
            <w:vAlign w:val="bottom"/>
          </w:tcPr>
          <w:p>
            <w:pPr>
              <w:spacing w:after="0"/>
              <w:rPr>
                <w:sz w:val="15"/>
                <w:szCs w:val="15"/>
                <w:color w:val="auto"/>
              </w:rPr>
            </w:pP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w w:val="94"/>
              </w:rPr>
              <w:t>5.1.</w:t>
            </w:r>
          </w:p>
        </w:tc>
        <w:tc>
          <w:tcPr>
            <w:tcW w:w="5040" w:type="dxa"/>
            <w:vAlign w:val="bottom"/>
          </w:tcPr>
          <w:p>
            <w:pPr>
              <w:spacing w:after="0"/>
              <w:rPr>
                <w:sz w:val="15"/>
                <w:szCs w:val="15"/>
                <w:color w:val="auto"/>
              </w:rPr>
            </w:pP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Power of Attorney.</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Financial Data Schedule -- Three Months ended March 31,</w:t>
            </w:r>
          </w:p>
        </w:tc>
      </w:tr>
      <w:tr>
        <w:trPr>
          <w:trHeight w:val="176"/>
        </w:trPr>
        <w:tc>
          <w:tcPr>
            <w:tcW w:w="860" w:type="dxa"/>
            <w:vAlign w:val="bottom"/>
          </w:tcPr>
          <w:p>
            <w:pPr>
              <w:spacing w:after="0"/>
              <w:rPr>
                <w:sz w:val="15"/>
                <w:szCs w:val="15"/>
                <w:color w:val="auto"/>
              </w:rPr>
            </w:pPr>
          </w:p>
        </w:tc>
        <w:tc>
          <w:tcPr>
            <w:tcW w:w="54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2000.</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To be filed by amendment.</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Replaces previously filed exhibit.</w:t>
      </w:r>
    </w:p>
    <w:p>
      <w:pPr>
        <w:spacing w:after="0" w:line="359"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(b) Financial Statement Schedule</w:t>
      </w:r>
    </w:p>
    <w:p>
      <w:pPr>
        <w:spacing w:after="0" w:line="182" w:lineRule="exact"/>
        <w:rPr>
          <w:sz w:val="20"/>
          <w:szCs w:val="20"/>
          <w:color w:val="auto"/>
        </w:rPr>
      </w:pPr>
    </w:p>
    <w:p>
      <w:pPr>
        <w:ind w:left="460" w:right="3439" w:firstLine="458"/>
        <w:spacing w:after="0" w:line="249" w:lineRule="auto"/>
        <w:rPr>
          <w:sz w:val="20"/>
          <w:szCs w:val="20"/>
          <w:color w:val="auto"/>
        </w:rPr>
      </w:pPr>
      <w:r>
        <w:rPr>
          <w:rFonts w:ascii="Courier New" w:cs="Courier New" w:eastAsia="Courier New" w:hAnsi="Courier New"/>
          <w:sz w:val="15"/>
          <w:szCs w:val="15"/>
          <w:color w:val="auto"/>
        </w:rPr>
        <w:t>Schedules not listed have been omitted because the information required to be set forth therein is not applicable or is shown in the financial statements or the notes thereto.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UNDERTAKINGS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82" w:lineRule="exact"/>
        <w:rPr>
          <w:sz w:val="20"/>
          <w:szCs w:val="20"/>
          <w:color w:val="auto"/>
        </w:rPr>
      </w:pPr>
    </w:p>
    <w:p>
      <w:pPr>
        <w:ind w:left="460" w:right="2899" w:firstLine="450"/>
        <w:spacing w:after="0" w:line="249" w:lineRule="auto"/>
        <w:tabs>
          <w:tab w:leader="none" w:pos="12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the information omitted from the form of this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351" w:lineRule="exact"/>
        <w:rPr>
          <w:rFonts w:ascii="Courier New" w:cs="Courier New" w:eastAsia="Courier New" w:hAnsi="Courier New"/>
          <w:sz w:val="15"/>
          <w:szCs w:val="15"/>
          <w:color w:val="auto"/>
        </w:rPr>
      </w:pPr>
    </w:p>
    <w:p>
      <w:pPr>
        <w:ind w:left="460" w:right="3439" w:firstLine="450"/>
        <w:spacing w:after="0" w:line="249" w:lineRule="auto"/>
        <w:tabs>
          <w:tab w:leader="none" w:pos="12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the Securities Act, each post-effective amendment that contains a form of prospectus shall be deemed to be a new registration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94"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99</w:t>
      </w:r>
    </w:p>
    <w:p>
      <w:pPr>
        <w:spacing w:after="0" w:line="182" w:lineRule="exact"/>
        <w:rPr>
          <w:sz w:val="20"/>
          <w:szCs w:val="20"/>
          <w:color w:val="auto"/>
        </w:rPr>
      </w:pPr>
    </w:p>
    <w:p>
      <w:pPr>
        <w:ind w:left="200" w:right="3079"/>
        <w:spacing w:after="0" w:line="249" w:lineRule="auto"/>
        <w:rPr>
          <w:sz w:val="20"/>
          <w:szCs w:val="20"/>
          <w:color w:val="auto"/>
        </w:rPr>
      </w:pPr>
      <w:r>
        <w:rPr>
          <w:rFonts w:ascii="Courier New" w:cs="Courier New" w:eastAsia="Courier New" w:hAnsi="Courier New"/>
          <w:sz w:val="15"/>
          <w:szCs w:val="15"/>
          <w:color w:val="auto"/>
        </w:rPr>
        <w:t>statement relating to the securities offered therein, and the offering of the securities at that time shall be deemed to be the initial bona fide offering thereof.</w:t>
      </w:r>
    </w:p>
    <w:p>
      <w:pPr>
        <w:spacing w:after="0" w:line="176" w:lineRule="exact"/>
        <w:rPr>
          <w:sz w:val="20"/>
          <w:szCs w:val="20"/>
          <w:color w:val="auto"/>
        </w:rPr>
      </w:pPr>
    </w:p>
    <w:p>
      <w:pPr>
        <w:ind w:left="200" w:right="2899" w:firstLine="450"/>
        <w:spacing w:after="0" w:line="248" w:lineRule="auto"/>
        <w:tabs>
          <w:tab w:leader="none" w:pos="10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referenced in Item 15 of this Registration Statement or otherwise, the Registrant has been advised that in the opinion of the Securities and Exchange Commission this indemnification is against public policy as expressed in the Securities Act and is, therefore, unenforceable. In the event that a claim for indemnification against these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the Registrant will, unless in the opinion of its counsel the matter has been settled by controlling precedent, submit to a court of appropriate jurisdiction the question of whether the indemnification by it is against public policy as expressed in the Securities Act of 1933, and will be governed by the final adjudication of this issue.</w:t>
      </w:r>
    </w:p>
    <w:p>
      <w:pPr>
        <w:spacing w:after="0" w:line="186" w:lineRule="exact"/>
        <w:rPr>
          <w:rFonts w:ascii="Courier New" w:cs="Courier New" w:eastAsia="Courier New" w:hAnsi="Courier New"/>
          <w:sz w:val="15"/>
          <w:szCs w:val="15"/>
          <w:color w:val="auto"/>
        </w:rPr>
      </w:pPr>
    </w:p>
    <w:p>
      <w:pPr>
        <w:ind w:left="200" w:right="3079" w:firstLine="450"/>
        <w:spacing w:after="0" w:line="249" w:lineRule="auto"/>
        <w:tabs>
          <w:tab w:leader="none" w:pos="102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provide to the Underwriters at the closing specified in the Underwriting Agreement certificates in the denomination and registered in the names required by the Underwriters to permit prompt delivery to each purchaser.</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94"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100</w:t>
      </w:r>
    </w:p>
    <w:p>
      <w:pPr>
        <w:spacing w:after="0" w:line="182"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359" w:lineRule="exact"/>
        <w:rPr>
          <w:sz w:val="20"/>
          <w:szCs w:val="20"/>
          <w:color w:val="auto"/>
        </w:rPr>
      </w:pPr>
    </w:p>
    <w:p>
      <w:pPr>
        <w:ind w:right="2899" w:firstLine="458"/>
        <w:spacing w:after="0" w:line="249" w:lineRule="auto"/>
        <w:rPr>
          <w:sz w:val="20"/>
          <w:szCs w:val="20"/>
          <w:color w:val="auto"/>
        </w:rPr>
      </w:pPr>
      <w:r>
        <w:rPr>
          <w:rFonts w:ascii="Courier New" w:cs="Courier New" w:eastAsia="Courier New" w:hAnsi="Courier New"/>
          <w:sz w:val="15"/>
          <w:szCs w:val="15"/>
          <w:color w:val="auto"/>
        </w:rPr>
        <w:t>In accordance with the requirements of the Securities Act of 1933, the Registrant has duly caused this Amendment No. 1 to the Registration Statement on Form S-1 to be signed on its behalf by the undersigned, in the City of Mountain View, County of Santa Clara, State of California, on the 2nd day of May 2000.</w:t>
      </w:r>
    </w:p>
    <w:p>
      <w:pPr>
        <w:spacing w:after="0" w:line="35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3840"/>
        <w:spacing w:after="0"/>
        <w:tabs>
          <w:tab w:leader="none" w:pos="46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LONNIE M. SMITH</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center"/>
        <w:ind w:right="-1040"/>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President and Chief Executive</w:t>
      </w:r>
    </w:p>
    <w:p>
      <w:pPr>
        <w:spacing w:after="0" w:line="6"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Officer</w:t>
      </w:r>
    </w:p>
    <w:p>
      <w:pPr>
        <w:spacing w:after="0" w:line="359" w:lineRule="exact"/>
        <w:rPr>
          <w:sz w:val="20"/>
          <w:szCs w:val="20"/>
          <w:color w:val="auto"/>
        </w:rPr>
      </w:pPr>
    </w:p>
    <w:p>
      <w:pPr>
        <w:ind w:right="2979" w:firstLine="458"/>
        <w:spacing w:after="0" w:line="249" w:lineRule="auto"/>
        <w:rPr>
          <w:sz w:val="20"/>
          <w:szCs w:val="20"/>
          <w:color w:val="auto"/>
        </w:rPr>
      </w:pPr>
      <w:r>
        <w:rPr>
          <w:rFonts w:ascii="Courier New" w:cs="Courier New" w:eastAsia="Courier New" w:hAnsi="Courier New"/>
          <w:sz w:val="15"/>
          <w:szCs w:val="15"/>
          <w:color w:val="auto"/>
        </w:rPr>
        <w:t>IN ACCORDANCE WITH THE REQUIREMENTS OF THE SECURITIES ACT OF 1933, THIS AMENDMENT NO. 1 TO THE REGISTRATION STATEMENT WAS SIGNED BELOW BY THE FOLLOWING PERSONS IN THE CAPACITIES AND ON THE DATES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SIGNATURE</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TITLE</w:t>
            </w:r>
          </w:p>
        </w:tc>
        <w:tc>
          <w:tcPr>
            <w:tcW w:w="1300" w:type="dxa"/>
            <w:vAlign w:val="bottom"/>
          </w:tcPr>
          <w:p>
            <w:pPr>
              <w:ind w:left="56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560"/>
              <w:spacing w:after="0"/>
              <w:rPr>
                <w:sz w:val="20"/>
                <w:szCs w:val="20"/>
                <w:color w:val="auto"/>
              </w:rPr>
            </w:pPr>
            <w:r>
              <w:rPr>
                <w:rFonts w:ascii="Courier New" w:cs="Courier New" w:eastAsia="Courier New" w:hAnsi="Courier New"/>
                <w:sz w:val="15"/>
                <w:szCs w:val="15"/>
                <w:color w:val="auto"/>
              </w:rPr>
              <w:t>----</w:t>
            </w:r>
          </w:p>
        </w:tc>
      </w:tr>
      <w:tr>
        <w:trPr>
          <w:trHeight w:val="352"/>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 LONNIE M. SMITH</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President, Chief Executive</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860"/>
              <w:spacing w:after="0"/>
              <w:rPr>
                <w:sz w:val="20"/>
                <w:szCs w:val="20"/>
                <w:color w:val="auto"/>
              </w:rPr>
            </w:pPr>
            <w:r>
              <w:rPr>
                <w:rFonts w:ascii="Courier New" w:cs="Courier New" w:eastAsia="Courier New" w:hAnsi="Courier New"/>
                <w:sz w:val="15"/>
                <w:szCs w:val="15"/>
                <w:color w:val="auto"/>
              </w:rPr>
              <w:t>Officer and Director</w:t>
            </w: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Lonnie M. Smith</w:t>
            </w: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(Principal Executive Officer)</w:t>
            </w: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 SUSAN K. BARNES</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Vice President, Finance, Chief</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ind w:left="1320"/>
              <w:spacing w:after="0"/>
              <w:rPr>
                <w:sz w:val="20"/>
                <w:szCs w:val="20"/>
                <w:color w:val="auto"/>
              </w:rPr>
            </w:pPr>
            <w:r>
              <w:rPr>
                <w:rFonts w:ascii="Courier New" w:cs="Courier New" w:eastAsia="Courier New" w:hAnsi="Courier New"/>
                <w:sz w:val="15"/>
                <w:szCs w:val="15"/>
                <w:color w:val="auto"/>
              </w:rPr>
              <w:t>Financial</w:t>
            </w: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Susan K. Barnes</w:t>
            </w:r>
          </w:p>
        </w:tc>
        <w:tc>
          <w:tcPr>
            <w:tcW w:w="324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Officer and Assistant Secretary</w:t>
            </w:r>
          </w:p>
        </w:tc>
        <w:tc>
          <w:tcPr>
            <w:tcW w:w="1300" w:type="dxa"/>
            <w:vAlign w:val="bottom"/>
          </w:tcPr>
          <w:p>
            <w:pPr>
              <w:spacing w:after="0"/>
              <w:rPr>
                <w:sz w:val="15"/>
                <w:szCs w:val="15"/>
                <w:color w:val="auto"/>
              </w:rPr>
            </w:pPr>
          </w:p>
        </w:tc>
      </w:tr>
      <w:tr>
        <w:trPr>
          <w:trHeight w:val="176"/>
        </w:trPr>
        <w:tc>
          <w:tcPr>
            <w:tcW w:w="4440" w:type="dxa"/>
            <w:vAlign w:val="bottom"/>
          </w:tcPr>
          <w:p>
            <w:pPr>
              <w:spacing w:after="0"/>
              <w:rPr>
                <w:sz w:val="15"/>
                <w:szCs w:val="15"/>
                <w:color w:val="auto"/>
              </w:rPr>
            </w:pP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rPr>
              <w:t>(Principal Financial and</w:t>
            </w:r>
          </w:p>
        </w:tc>
        <w:tc>
          <w:tcPr>
            <w:tcW w:w="1300" w:type="dxa"/>
            <w:vAlign w:val="bottom"/>
          </w:tcPr>
          <w:p>
            <w:pPr>
              <w:spacing w:after="0"/>
              <w:rPr>
                <w:sz w:val="15"/>
                <w:szCs w:val="15"/>
                <w:color w:val="auto"/>
              </w:rPr>
            </w:pPr>
          </w:p>
        </w:tc>
      </w:tr>
      <w:tr>
        <w:trPr>
          <w:trHeight w:val="176"/>
        </w:trPr>
        <w:tc>
          <w:tcPr>
            <w:tcW w:w="4440" w:type="dxa"/>
            <w:vAlign w:val="bottom"/>
          </w:tcPr>
          <w:p>
            <w:pPr>
              <w:spacing w:after="0"/>
              <w:rPr>
                <w:sz w:val="15"/>
                <w:szCs w:val="15"/>
                <w:color w:val="auto"/>
              </w:rPr>
            </w:pPr>
          </w:p>
        </w:tc>
        <w:tc>
          <w:tcPr>
            <w:tcW w:w="324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Accounting Officer)</w:t>
            </w: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SCOTT S. HALSTED*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Scott S. Halsted</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RUSSELL C. HIRSCH, M.D., PH.D.*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Russell C. Hirsch, M.D., Ph.D.</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RICHARD J. KRAMER*</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Richard J. Kramer</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JAMES A. LAWRENCE*</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James A. Lawrence</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/s/ ALAN J. LEVY, PH.D.*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Alan J. Levy, Ph.D.</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52"/>
        </w:trPr>
        <w:tc>
          <w:tcPr>
            <w:tcW w:w="444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/s/ FREDERIC H. MOLL, M.D.*</w:t>
            </w:r>
          </w:p>
        </w:tc>
        <w:tc>
          <w:tcPr>
            <w:tcW w:w="3240" w:type="dxa"/>
            <w:vAlign w:val="bottom"/>
          </w:tcPr>
          <w:p>
            <w:pPr>
              <w:jc w:val="center"/>
              <w:spacing w:after="0"/>
              <w:rPr>
                <w:sz w:val="20"/>
                <w:szCs w:val="20"/>
                <w:color w:val="auto"/>
              </w:rPr>
            </w:pPr>
            <w:r>
              <w:rPr>
                <w:rFonts w:ascii="Courier New" w:cs="Courier New" w:eastAsia="Courier New" w:hAnsi="Courier New"/>
                <w:sz w:val="15"/>
                <w:szCs w:val="15"/>
                <w:color w:val="auto"/>
                <w:w w:val="99"/>
              </w:rPr>
              <w:t>Director</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May 2, 2000</w:t>
            </w:r>
          </w:p>
        </w:tc>
      </w:tr>
      <w:tr>
        <w:trPr>
          <w:trHeight w:val="176"/>
        </w:trPr>
        <w:tc>
          <w:tcPr>
            <w:tcW w:w="4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6"/>
        </w:trPr>
        <w:tc>
          <w:tcPr>
            <w:tcW w:w="4440" w:type="dxa"/>
            <w:vAlign w:val="bottom"/>
          </w:tcPr>
          <w:p>
            <w:pPr>
              <w:jc w:val="center"/>
              <w:ind w:right="344"/>
              <w:spacing w:after="0"/>
              <w:rPr>
                <w:sz w:val="20"/>
                <w:szCs w:val="20"/>
                <w:color w:val="auto"/>
              </w:rPr>
            </w:pPr>
            <w:r>
              <w:rPr>
                <w:rFonts w:ascii="Courier New" w:cs="Courier New" w:eastAsia="Courier New" w:hAnsi="Courier New"/>
                <w:sz w:val="15"/>
                <w:szCs w:val="15"/>
                <w:color w:val="auto"/>
              </w:rPr>
              <w:t>Frederic H. Moll, M.D.</w:t>
            </w:r>
          </w:p>
        </w:tc>
        <w:tc>
          <w:tcPr>
            <w:tcW w:w="324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LONNIE M. SMITH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Attorney-in-Fact</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294"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140" w:type="dxa"/>
            <w:vAlign w:val="bottom"/>
          </w:tcPr>
          <w:p>
            <w:pPr>
              <w:ind w:left="1380"/>
              <w:spacing w:after="0"/>
              <w:rPr>
                <w:sz w:val="20"/>
                <w:szCs w:val="20"/>
                <w:color w:val="auto"/>
              </w:rPr>
            </w:pPr>
            <w:r>
              <w:rPr>
                <w:rFonts w:ascii="Courier New" w:cs="Courier New" w:eastAsia="Courier New" w:hAnsi="Courier New"/>
                <w:sz w:val="15"/>
                <w:szCs w:val="15"/>
                <w:color w:val="auto"/>
              </w:rPr>
              <w:t>EXHIBIT INDEX</w:t>
            </w:r>
          </w:p>
        </w:tc>
      </w:tr>
      <w:tr>
        <w:trPr>
          <w:trHeight w:val="881"/>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00" w:type="dxa"/>
            <w:vAlign w:val="bottom"/>
          </w:tcPr>
          <w:p>
            <w:pPr>
              <w:spacing w:after="0"/>
              <w:rPr>
                <w:sz w:val="24"/>
                <w:szCs w:val="24"/>
                <w:color w:val="auto"/>
              </w:rPr>
            </w:pPr>
          </w:p>
        </w:tc>
        <w:tc>
          <w:tcPr>
            <w:tcW w:w="5140" w:type="dxa"/>
            <w:vAlign w:val="bottom"/>
          </w:tcPr>
          <w:p>
            <w:pPr>
              <w:spacing w:after="0"/>
              <w:rPr>
                <w:sz w:val="24"/>
                <w:szCs w:val="24"/>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500" w:type="dxa"/>
            <w:vAlign w:val="bottom"/>
          </w:tcPr>
          <w:p>
            <w:pPr>
              <w:spacing w:after="0"/>
              <w:rPr>
                <w:sz w:val="15"/>
                <w:szCs w:val="15"/>
                <w:color w:val="auto"/>
              </w:rPr>
            </w:pPr>
          </w:p>
        </w:tc>
        <w:tc>
          <w:tcPr>
            <w:tcW w:w="5140" w:type="dxa"/>
            <w:vAlign w:val="bottom"/>
          </w:tcPr>
          <w:p>
            <w:pPr>
              <w:ind w:left="1280"/>
              <w:spacing w:after="0"/>
              <w:rPr>
                <w:sz w:val="20"/>
                <w:szCs w:val="20"/>
                <w:color w:val="auto"/>
              </w:rPr>
            </w:pPr>
            <w:r>
              <w:rPr>
                <w:rFonts w:ascii="Courier New" w:cs="Courier New" w:eastAsia="Courier New" w:hAnsi="Courier New"/>
                <w:sz w:val="15"/>
                <w:szCs w:val="15"/>
                <w:color w:val="auto"/>
              </w:rPr>
              <w:t>DESCRIPTION OF DOCUMENT</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51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r>
      <w:tr>
        <w:trPr>
          <w:trHeight w:val="352"/>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Certificate of Amendment of Restated Certificate of</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Incorporation of the Registrant.</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Amended and Restated Certificate of Incorporation of</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the Registrant to be effective upon the closing of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offering.</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3.3+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Bylaws of the Registrant.</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4.1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Reference is made to Exhibits 3.1 through 3.3.</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4.2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Specimen Stock Certificate.</w:t>
            </w:r>
          </w:p>
        </w:tc>
      </w:tr>
      <w:tr>
        <w:trPr>
          <w:trHeight w:val="176"/>
        </w:trPr>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Opinion of Cooley Godward LLP.</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Form of Indemnity Agreement.</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Equity Incentive Plan.</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Non-Employee Directors' Stock Option Plan.</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 Employee Stock Purchase Plan.</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Amended and Restated Investor Rights Agreement dated March</w:t>
            </w:r>
          </w:p>
        </w:tc>
      </w:tr>
      <w:tr>
        <w:trPr>
          <w:trHeight w:val="176"/>
        </w:trPr>
        <w:tc>
          <w:tcPr>
            <w:tcW w:w="7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rPr>
              <w:t>31,</w:t>
            </w:r>
          </w:p>
        </w:tc>
        <w:tc>
          <w:tcPr>
            <w:tcW w:w="5140" w:type="dxa"/>
            <w:vAlign w:val="bottom"/>
          </w:tcPr>
          <w:p>
            <w:pPr>
              <w:jc w:val="right"/>
              <w:ind w:right="4604"/>
              <w:spacing w:after="0"/>
              <w:rPr>
                <w:sz w:val="20"/>
                <w:szCs w:val="20"/>
                <w:color w:val="auto"/>
              </w:rPr>
            </w:pPr>
            <w:r>
              <w:rPr>
                <w:rFonts w:ascii="Courier New" w:cs="Courier New" w:eastAsia="Courier New" w:hAnsi="Courier New"/>
                <w:sz w:val="15"/>
                <w:szCs w:val="15"/>
                <w:color w:val="auto"/>
                <w:w w:val="97"/>
              </w:rPr>
              <w:t>1999.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Equipment Financing Agreement (No. 10809), dated April 2,</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1997, between the Registrant and Lease Management Services,</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 and related addendums.</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Security Agreement, dated May 20, 1999,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Heller Financial Leasing, Inc., and related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amendments.</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December 20, 1995,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SRI International.</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December 29, 1997,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International Business Machines Corporation.</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License Agreement, dated April 1, 1999,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Massachusetts Institute of Technology.</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dated September 9, 1996, between the Registrant and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Lease, dated February 5, 1997, between the Registrant and</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Zappettini Investment Co.</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Employment Agreement, dated February 28, 1997, between the</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Registrant and Lonnie M. Smith.</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Consent of Cooley Godward LLP. Reference is made to Exhibit</w:t>
            </w:r>
          </w:p>
        </w:tc>
      </w:tr>
      <w:tr>
        <w:trPr>
          <w:trHeight w:val="176"/>
        </w:trPr>
        <w:tc>
          <w:tcPr>
            <w:tcW w:w="780" w:type="dxa"/>
            <w:vAlign w:val="bottom"/>
          </w:tcPr>
          <w:p>
            <w:pPr>
              <w:spacing w:after="0"/>
              <w:rPr>
                <w:sz w:val="15"/>
                <w:szCs w:val="15"/>
                <w:color w:val="auto"/>
              </w:rPr>
            </w:pPr>
          </w:p>
        </w:tc>
        <w:tc>
          <w:tcPr>
            <w:tcW w:w="500" w:type="dxa"/>
            <w:vAlign w:val="bottom"/>
          </w:tcPr>
          <w:p>
            <w:pPr>
              <w:ind w:left="140"/>
              <w:spacing w:after="0"/>
              <w:rPr>
                <w:sz w:val="20"/>
                <w:szCs w:val="20"/>
                <w:color w:val="auto"/>
              </w:rPr>
            </w:pPr>
            <w:r>
              <w:rPr>
                <w:rFonts w:ascii="Courier New" w:cs="Courier New" w:eastAsia="Courier New" w:hAnsi="Courier New"/>
                <w:sz w:val="15"/>
                <w:szCs w:val="15"/>
                <w:color w:val="auto"/>
                <w:w w:val="94"/>
              </w:rPr>
              <w:t>5.1.</w:t>
            </w:r>
          </w:p>
        </w:tc>
        <w:tc>
          <w:tcPr>
            <w:tcW w:w="5140" w:type="dxa"/>
            <w:vAlign w:val="bottom"/>
          </w:tcPr>
          <w:p>
            <w:pPr>
              <w:spacing w:after="0"/>
              <w:rPr>
                <w:sz w:val="15"/>
                <w:szCs w:val="15"/>
                <w:color w:val="auto"/>
              </w:rPr>
            </w:pP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Power of Attorney.</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27.1+</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Data Schedule -- Three Years ended December 31,</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1999.</w:t>
            </w:r>
          </w:p>
        </w:tc>
      </w:tr>
      <w:tr>
        <w:trPr>
          <w:trHeight w:val="176"/>
        </w:trPr>
        <w:tc>
          <w:tcPr>
            <w:tcW w:w="780" w:type="dxa"/>
            <w:vAlign w:val="bottom"/>
          </w:tcPr>
          <w:p>
            <w:pPr>
              <w:spacing w:after="0"/>
              <w:rPr>
                <w:sz w:val="20"/>
                <w:szCs w:val="20"/>
                <w:color w:val="auto"/>
              </w:rPr>
            </w:pPr>
            <w:r>
              <w:rPr>
                <w:rFonts w:ascii="Courier New" w:cs="Courier New" w:eastAsia="Courier New" w:hAnsi="Courier New"/>
                <w:sz w:val="15"/>
                <w:szCs w:val="15"/>
                <w:color w:val="auto"/>
              </w:rPr>
              <w:t>27.2</w:t>
            </w: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Data Schedule -- Three Months ended March 31,</w:t>
            </w:r>
          </w:p>
        </w:tc>
      </w:tr>
      <w:tr>
        <w:trPr>
          <w:trHeight w:val="176"/>
        </w:trPr>
        <w:tc>
          <w:tcPr>
            <w:tcW w:w="780" w:type="dxa"/>
            <w:vAlign w:val="bottom"/>
          </w:tcPr>
          <w:p>
            <w:pPr>
              <w:spacing w:after="0"/>
              <w:rPr>
                <w:sz w:val="15"/>
                <w:szCs w:val="15"/>
                <w:color w:val="auto"/>
              </w:rPr>
            </w:pPr>
          </w:p>
        </w:tc>
        <w:tc>
          <w:tcPr>
            <w:tcW w:w="56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2000.</w:t>
            </w:r>
          </w:p>
        </w:tc>
      </w:tr>
    </w:tbl>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To be filed by amendment.</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 Previously filed.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Replaces previously filed exhibit.</w:t>
      </w:r>
    </w:p>
    <w:p>
      <w:pPr>
        <w:sectPr>
          <w:pgSz w:w="11900" w:h="16838" w:orient="portrait"/>
          <w:cols w:equalWidth="0" w:num="1">
            <w:col w:w="10219"/>
          </w:cols>
          <w:pgMar w:left="240" w:top="294"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3.1.1</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CERTIFICATE OF AMENDMENT OF</w:t>
      </w:r>
    </w:p>
    <w:p>
      <w:pPr>
        <w:spacing w:after="0" w:line="6"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RESTATED CERTIFICATE OF INCORPORATION OF</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LONNIE M. SMITH hereby certifies as follows:</w:t>
      </w:r>
    </w:p>
    <w:p>
      <w:pPr>
        <w:spacing w:after="0" w:line="182" w:lineRule="exact"/>
        <w:rPr>
          <w:sz w:val="20"/>
          <w:szCs w:val="20"/>
          <w:color w:val="auto"/>
        </w:rPr>
      </w:pPr>
    </w:p>
    <w:p>
      <w:pPr>
        <w:ind w:right="3179" w:firstLine="733"/>
        <w:spacing w:after="0" w:line="249" w:lineRule="auto"/>
        <w:rPr>
          <w:sz w:val="20"/>
          <w:szCs w:val="20"/>
          <w:color w:val="auto"/>
        </w:rPr>
      </w:pPr>
      <w:r>
        <w:rPr>
          <w:rFonts w:ascii="Courier New" w:cs="Courier New" w:eastAsia="Courier New" w:hAnsi="Courier New"/>
          <w:sz w:val="15"/>
          <w:szCs w:val="15"/>
          <w:color w:val="auto"/>
        </w:rPr>
        <w:t>ONE: The original name of this corporation is Intuitive Surgical Devices, Inc. and the date of filing of the original Certificate of Incorporation of this corporation with the Secretary of State of the State of Delaware is November 9, 1995.</w:t>
      </w:r>
    </w:p>
    <w:p>
      <w:pPr>
        <w:spacing w:after="0" w:line="176" w:lineRule="exact"/>
        <w:rPr>
          <w:sz w:val="20"/>
          <w:szCs w:val="20"/>
          <w:color w:val="auto"/>
        </w:rPr>
      </w:pPr>
    </w:p>
    <w:p>
      <w:pPr>
        <w:ind w:right="3439" w:firstLine="733"/>
        <w:spacing w:after="0" w:line="250" w:lineRule="auto"/>
        <w:rPr>
          <w:sz w:val="20"/>
          <w:szCs w:val="20"/>
          <w:color w:val="auto"/>
        </w:rPr>
      </w:pPr>
      <w:r>
        <w:rPr>
          <w:rFonts w:ascii="Courier New" w:cs="Courier New" w:eastAsia="Courier New" w:hAnsi="Courier New"/>
          <w:sz w:val="15"/>
          <w:szCs w:val="15"/>
          <w:color w:val="auto"/>
        </w:rPr>
        <w:t>TWO: That he is the duly elected and acting President of Intuitive Surgical, Inc., a Delaware corporation.</w:t>
      </w:r>
    </w:p>
    <w:p>
      <w:pPr>
        <w:spacing w:after="0" w:line="175" w:lineRule="exact"/>
        <w:rPr>
          <w:sz w:val="20"/>
          <w:szCs w:val="20"/>
          <w:color w:val="auto"/>
        </w:rPr>
      </w:pPr>
    </w:p>
    <w:p>
      <w:pPr>
        <w:ind w:right="2979" w:firstLine="733"/>
        <w:spacing w:after="0" w:line="249" w:lineRule="auto"/>
        <w:rPr>
          <w:sz w:val="20"/>
          <w:szCs w:val="20"/>
          <w:color w:val="auto"/>
        </w:rPr>
      </w:pPr>
      <w:r>
        <w:rPr>
          <w:rFonts w:ascii="Courier New" w:cs="Courier New" w:eastAsia="Courier New" w:hAnsi="Courier New"/>
          <w:sz w:val="15"/>
          <w:szCs w:val="15"/>
          <w:color w:val="auto"/>
        </w:rPr>
        <w:t>THREE: The Board of Directors of the Corporation, acting in accordance with the provisions of Sections 141 and 242 of the General Corporation Law of the State of Delaware, adopted resolutions amending its Restated Certificate of Incorporation as follows:</w:t>
      </w:r>
    </w:p>
    <w:p>
      <w:pPr>
        <w:spacing w:after="0" w:line="176" w:lineRule="exact"/>
        <w:rPr>
          <w:sz w:val="20"/>
          <w:szCs w:val="20"/>
          <w:color w:val="auto"/>
        </w:rPr>
      </w:pPr>
    </w:p>
    <w:p>
      <w:pPr>
        <w:ind w:right="3439" w:firstLine="1099"/>
        <w:spacing w:after="0" w:line="250" w:lineRule="auto"/>
        <w:rPr>
          <w:sz w:val="20"/>
          <w:szCs w:val="20"/>
          <w:color w:val="auto"/>
        </w:rPr>
      </w:pPr>
      <w:r>
        <w:rPr>
          <w:rFonts w:ascii="Courier New" w:cs="Courier New" w:eastAsia="Courier New" w:hAnsi="Courier New"/>
          <w:sz w:val="15"/>
          <w:szCs w:val="15"/>
          <w:color w:val="auto"/>
        </w:rPr>
        <w:t>Article IV, Section E, Paragraph 4(j)(iv) shall be amended and restated to read in its entirety as follows:</w:t>
      </w:r>
    </w:p>
    <w:p>
      <w:pPr>
        <w:spacing w:after="0" w:line="175" w:lineRule="exact"/>
        <w:rPr>
          <w:sz w:val="20"/>
          <w:szCs w:val="20"/>
          <w:color w:val="auto"/>
        </w:rPr>
      </w:pPr>
    </w:p>
    <w:p>
      <w:pPr>
        <w:ind w:left="360" w:right="2899"/>
        <w:spacing w:after="0" w:line="248" w:lineRule="auto"/>
        <w:rPr>
          <w:sz w:val="20"/>
          <w:szCs w:val="20"/>
          <w:color w:val="auto"/>
        </w:rPr>
      </w:pPr>
      <w:r>
        <w:rPr>
          <w:rFonts w:ascii="Courier New" w:cs="Courier New" w:eastAsia="Courier New" w:hAnsi="Courier New"/>
          <w:sz w:val="15"/>
          <w:szCs w:val="15"/>
          <w:color w:val="auto"/>
        </w:rPr>
        <w:t>"(iv) "Additional Shares of Common Stock" shall mean all shares of Common Stock issued by the Company or deemed to be issued pursuant to this Section 4(j), whether or not subsequently reacquired or retired by the Company other than (1) shares of Common Stock issued upon conversion of the Preferred Stock; (2) shares of Common Stock and/or options, warrants or other Common Stock purchase rights, and the Common Stock issued pursuant to such options, warrants or other rights (as adjusted for any stock dividends, combinations, splits, recapitalizations and the like) issued or to be issued to employees, officers or directors of, or consultants or advisors to the Company or any subsidiary pursuant to stock purchase or stock option plans or other arrangements that are approved by the Board; (3) shares of Common Stock issued pursuant to the exercise of options, warrants or convertible securities outstanding as of the Original Issue Date; (4) those shares of Common Stock and/or options, warrants or other Common Stock purchase rights, and the Common Stock issued pursuant to such options, warrants or other rights (as adjusted for any stock dividends, combinations, splits, recapitalizations and the like) issued or to be issued to Stanford Research Institute ("SRI") in connection with that license agreement between the Company and SRI dated December 1995, (5) those shares of Common Stock or Preferred Stock issued or to be issued to Guidant Corporation, its subsidiaries or affiliates prior to March 31, 1996, and (6) those shares of Common Stock and/or options, warrants or other Common Stock purchase rights, and the Common Stock issued pursuant to such options, warrants or other rights (as adjusted for any stock dividends, combinations, splits, recapitalizations and the like) issued or to be issued to Heartport, Inc. ("Heartport") in connection with that license agreement between the Company and Heartport dated April 2000. The "Effective Price" of Additional Shares of Common Stock shall mean the quotient determined by dividing the total number of Additional Shares of Common Stock issued or sold, or deemed to have been issued or sold by the Company under this Section 4(j), into the aggregate consideration received, or deemed to have been received by the Company for such issue under this Section 4(j), for such Additional Shares of Common Stock.</w:t>
      </w:r>
    </w:p>
    <w:p>
      <w:pPr>
        <w:sectPr>
          <w:pgSz w:w="11900" w:h="16838" w:orient="portrait"/>
          <w:cols w:equalWidth="0" w:num="1">
            <w:col w:w="10219"/>
          </w:cols>
          <w:pgMar w:left="240" w:top="142"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right="3179" w:firstLine="733"/>
        <w:spacing w:after="0" w:line="249" w:lineRule="auto"/>
        <w:rPr>
          <w:sz w:val="20"/>
          <w:szCs w:val="20"/>
          <w:color w:val="auto"/>
        </w:rPr>
      </w:pPr>
      <w:r>
        <w:rPr>
          <w:rFonts w:ascii="Courier New" w:cs="Courier New" w:eastAsia="Courier New" w:hAnsi="Courier New"/>
          <w:sz w:val="15"/>
          <w:szCs w:val="15"/>
          <w:color w:val="auto"/>
        </w:rPr>
        <w:t>FOUR: Thereafter, pursuant to a resolution of the Board of Directors, this Certificate of Amendment was submitted to the stockholders of the Corporation for their approval, and was duly adopted in accordance with the provisions of Section 242 of the General Corporation Law of the State of Delaware.</w:t>
      </w:r>
    </w:p>
    <w:p>
      <w:pPr>
        <w:spacing w:after="0" w:line="176" w:lineRule="exact"/>
        <w:rPr>
          <w:sz w:val="20"/>
          <w:szCs w:val="20"/>
          <w:color w:val="auto"/>
        </w:rPr>
      </w:pPr>
    </w:p>
    <w:p>
      <w:pPr>
        <w:ind w:right="2899" w:firstLine="733"/>
        <w:spacing w:after="0" w:line="250" w:lineRule="auto"/>
        <w:rPr>
          <w:sz w:val="20"/>
          <w:szCs w:val="20"/>
          <w:color w:val="auto"/>
        </w:rPr>
      </w:pPr>
      <w:r>
        <w:rPr>
          <w:rFonts w:ascii="Courier New" w:cs="Courier New" w:eastAsia="Courier New" w:hAnsi="Courier New"/>
          <w:sz w:val="15"/>
          <w:szCs w:val="15"/>
          <w:color w:val="auto"/>
        </w:rPr>
        <w:t>IN WITNESS WHEREOF, Intuitive Surgical, Inc. has caused this Certificate of Amendment to be signed by its President this 26th day of April, 2000.</w:t>
      </w:r>
    </w:p>
    <w:p>
      <w:pPr>
        <w:spacing w:after="0" w:line="200" w:lineRule="exact"/>
        <w:rPr>
          <w:sz w:val="20"/>
          <w:szCs w:val="20"/>
          <w:color w:val="auto"/>
        </w:rPr>
      </w:pPr>
    </w:p>
    <w:p>
      <w:pPr>
        <w:spacing w:after="0" w:line="327"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/s/ Lonnie M. Smith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Lonnie M. Smith</w:t>
      </w:r>
    </w:p>
    <w:p>
      <w:pPr>
        <w:spacing w:after="0" w:line="6" w:lineRule="exact"/>
        <w:rPr>
          <w:sz w:val="20"/>
          <w:szCs w:val="20"/>
          <w:color w:val="auto"/>
        </w:rPr>
      </w:pPr>
    </w:p>
    <w:p>
      <w:pPr>
        <w:ind w:left="4660"/>
        <w:spacing w:after="0"/>
        <w:rPr>
          <w:sz w:val="20"/>
          <w:szCs w:val="20"/>
          <w:color w:val="auto"/>
        </w:rPr>
      </w:pPr>
      <w:r>
        <w:rPr>
          <w:rFonts w:ascii="Courier New" w:cs="Courier New" w:eastAsia="Courier New" w:hAnsi="Courier New"/>
          <w:sz w:val="15"/>
          <w:szCs w:val="15"/>
          <w:color w:val="auto"/>
        </w:rPr>
        <w:t>President</w:t>
      </w:r>
    </w:p>
    <w:p>
      <w:pPr>
        <w:sectPr>
          <w:pgSz w:w="11900" w:h="16838" w:orient="portrait"/>
          <w:cols w:equalWidth="0" w:num="1">
            <w:col w:w="10219"/>
          </w:cols>
          <w:pgMar w:left="240" w:top="294"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1</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4.2</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ISG</w:t>
      </w:r>
    </w:p>
    <w:p>
      <w:pPr>
        <w:spacing w:after="0" w:line="182" w:lineRule="exact"/>
        <w:rPr>
          <w:sz w:val="20"/>
          <w:szCs w:val="20"/>
          <w:color w:val="auto"/>
        </w:rPr>
      </w:pPr>
    </w:p>
    <w:p>
      <w:pPr>
        <w:ind w:right="4819"/>
        <w:spacing w:after="0" w:line="250" w:lineRule="auto"/>
        <w:rPr>
          <w:sz w:val="20"/>
          <w:szCs w:val="20"/>
          <w:color w:val="auto"/>
        </w:rPr>
      </w:pPr>
      <w:r>
        <w:rPr>
          <w:rFonts w:ascii="Courier New" w:cs="Courier New" w:eastAsia="Courier New" w:hAnsi="Courier New"/>
          <w:sz w:val="15"/>
          <w:szCs w:val="15"/>
          <w:color w:val="auto"/>
        </w:rPr>
        <w:t>SEE REVERSE FOR STATEMENTS RELATING TO RIGHTS, PREFERENCES, PRIVILEGES AND RESTRICTIONS, IF 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CUSIP 46120E 10 7</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INCORPORATED UNDER THE LAWS OF THE STATE OF DELAWARE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CERTIFIES THAT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 the record holder 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FULLY PAID AND NONASSESSABLE SHARES OF THE COMMON STOCK, $.001 PAR VALUE, 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transferable on the books of the Corporation by the holder hereof in person or by duly authorized attorney upon surrender of this Certificate properly endorsed. This Certificate is not valid unless countersigned and registered by the Transfer Agent and Registrar.</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WITNESS the facsimile seal of the Corporation and the facsimile signatures of its duly authorized officers.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COUNTERSIGNED AND REGISTERED: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SECURITIES TRANSFER &amp; TRUST,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 BOX 1596, Denver, Colorado 80201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 AUTHORIZED SIGNATURE</w:t>
      </w:r>
    </w:p>
    <w:p>
      <w:pPr>
        <w:sectPr>
          <w:pgSz w:w="11900" w:h="16838" w:orient="portrait"/>
          <w:cols w:equalWidth="0" w:num="1">
            <w:col w:w="10219"/>
          </w:cols>
          <w:pgMar w:left="240" w:top="141" w:right="1440" w:bottom="1440" w:gutter="0" w:footer="0" w:header="0"/>
        </w:sectPr>
      </w:pPr>
    </w:p>
    <w:bookmarkStart w:id="108" w:name="page109"/>
    <w:bookmarkEnd w:id="108"/>
    <w:p>
      <w:pPr>
        <w:ind w:left="266"/>
        <w:spacing w:after="0"/>
        <w:rPr>
          <w:sz w:val="20"/>
          <w:szCs w:val="20"/>
          <w:color w:val="auto"/>
        </w:rPr>
      </w:pPr>
      <w:r>
        <w:rPr>
          <w:rFonts w:ascii="Courier New" w:cs="Courier New" w:eastAsia="Courier New" w:hAnsi="Courier New"/>
          <w:sz w:val="15"/>
          <w:szCs w:val="15"/>
          <w:color w:val="auto"/>
        </w:rPr>
        <w:t>2</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ind w:left="6" w:right="3660"/>
        <w:spacing w:after="0" w:line="249" w:lineRule="auto"/>
        <w:rPr>
          <w:sz w:val="20"/>
          <w:szCs w:val="20"/>
          <w:color w:val="auto"/>
        </w:rPr>
      </w:pPr>
      <w:r>
        <w:rPr>
          <w:rFonts w:ascii="Courier New" w:cs="Courier New" w:eastAsia="Courier New" w:hAnsi="Courier New"/>
          <w:sz w:val="15"/>
          <w:szCs w:val="15"/>
          <w:color w:val="auto"/>
        </w:rPr>
        <w:t>A statement of the powers, designations, preferences and relative, participating, optional or other special rights of each class of stock or series thereof and the qualifications, limitations or restrictions of such preferences and/or rights as established, from time to time, by the Certificate of Incorporation of the Corporation and by any certificate of determination, the number of shares constituting each class and series, and the designations thereof, may be obtained by the holder hereof upon request and without charge from the Secretary of the Corporation at the principal office of the Corporation.</w:t>
      </w:r>
    </w:p>
    <w:p>
      <w:pPr>
        <w:spacing w:after="0" w:line="352" w:lineRule="exact"/>
        <w:rPr>
          <w:sz w:val="20"/>
          <w:szCs w:val="20"/>
          <w:color w:val="auto"/>
        </w:rPr>
      </w:pPr>
    </w:p>
    <w:p>
      <w:pPr>
        <w:ind w:left="6" w:right="3940"/>
        <w:spacing w:after="0" w:line="249" w:lineRule="auto"/>
        <w:rPr>
          <w:sz w:val="20"/>
          <w:szCs w:val="20"/>
          <w:color w:val="auto"/>
        </w:rPr>
      </w:pPr>
      <w:r>
        <w:rPr>
          <w:rFonts w:ascii="Courier New" w:cs="Courier New" w:eastAsia="Courier New" w:hAnsi="Courier New"/>
          <w:sz w:val="15"/>
          <w:szCs w:val="15"/>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0986"/>
          </w:cols>
          <w:pgMar w:left="234" w:top="294" w:right="679" w:bottom="482" w:gutter="0" w:footer="0" w:header="0"/>
        </w:sectPr>
      </w:pPr>
    </w:p>
    <w:p>
      <w:pPr>
        <w:spacing w:after="0" w:line="200" w:lineRule="exact"/>
        <w:rPr>
          <w:sz w:val="20"/>
          <w:szCs w:val="20"/>
          <w:color w:val="auto"/>
        </w:rPr>
      </w:pPr>
    </w:p>
    <w:p>
      <w:pPr>
        <w:spacing w:after="0" w:line="328"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TEN COM</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TEN ENT</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JT TEN</w:t>
      </w:r>
    </w:p>
    <w:p>
      <w:pPr>
        <w:spacing w:after="0" w:line="359"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COM PROP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as tenants in common</w:t>
      </w:r>
    </w:p>
    <w:p>
      <w:pPr>
        <w:spacing w:after="0" w:line="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as tenants by the entireties</w:t>
      </w:r>
    </w:p>
    <w:p>
      <w:pPr>
        <w:spacing w:after="0" w:line="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as joint tenants with right of</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survivorship and not as tenants</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 common</w:t>
      </w:r>
    </w:p>
    <w:p>
      <w:pPr>
        <w:spacing w:after="0" w:line="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w:t>
        <w:tab/>
        <w:t>as community 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UNIF GIFT MIN ACT -- ...................Custodian</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(Cust)</w:t>
      </w:r>
    </w:p>
    <w:p>
      <w:pPr>
        <w:spacing w:after="0" w:line="6" w:lineRule="exact"/>
        <w:rPr>
          <w:sz w:val="20"/>
          <w:szCs w:val="20"/>
          <w:color w:val="auto"/>
        </w:rPr>
      </w:pPr>
    </w:p>
    <w:p>
      <w:pPr>
        <w:ind w:left="100"/>
        <w:spacing w:after="0"/>
        <w:tabs>
          <w:tab w:leader="none" w:pos="1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under Uniform Gifts to Minors</w:t>
      </w:r>
    </w:p>
    <w:p>
      <w:pPr>
        <w:spacing w:after="0" w:line="6" w:lineRule="exact"/>
        <w:rPr>
          <w:sz w:val="20"/>
          <w:szCs w:val="20"/>
          <w:color w:val="auto"/>
        </w:rPr>
      </w:pPr>
    </w:p>
    <w:p>
      <w:pPr>
        <w:ind w:left="460"/>
        <w:spacing w:after="0"/>
        <w:tabs>
          <w:tab w:leader="none" w:pos="1900" w:val="left"/>
        </w:tabs>
        <w:rPr>
          <w:sz w:val="20"/>
          <w:szCs w:val="20"/>
          <w:color w:val="auto"/>
        </w:rPr>
      </w:pPr>
      <w:r>
        <w:rPr>
          <w:rFonts w:ascii="Courier New" w:cs="Courier New" w:eastAsia="Courier New" w:hAnsi="Courier New"/>
          <w:sz w:val="15"/>
          <w:szCs w:val="15"/>
          <w:color w:val="auto"/>
        </w:rPr>
        <w:t>(Minor)</w:t>
      </w:r>
      <w:r>
        <w:rPr>
          <w:sz w:val="20"/>
          <w:szCs w:val="20"/>
          <w:color w:val="auto"/>
        </w:rPr>
        <w:tab/>
      </w:r>
      <w:r>
        <w:rPr>
          <w:rFonts w:ascii="Courier New" w:cs="Courier New" w:eastAsia="Courier New" w:hAnsi="Courier New"/>
          <w:sz w:val="15"/>
          <w:szCs w:val="15"/>
          <w:color w:val="auto"/>
        </w:rPr>
        <w:t>Act........................................</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(State)</w:t>
      </w:r>
    </w:p>
    <w:p>
      <w:pPr>
        <w:spacing w:after="0" w:line="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UNIF TRF MIN ACT</w:t>
        <w:tab/>
        <w:t>-- .............Custodian (until age.........)</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(Cust)</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....................under Uniform Transfers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(Minor)</w:t>
      </w:r>
    </w:p>
    <w:p>
      <w:pPr>
        <w:spacing w:after="0" w:line="6"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to Minors Act..............................</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(State)</w:t>
      </w:r>
    </w:p>
    <w:p>
      <w:pPr>
        <w:spacing w:after="0" w:line="200" w:lineRule="exact"/>
        <w:rPr>
          <w:sz w:val="20"/>
          <w:szCs w:val="20"/>
          <w:color w:val="auto"/>
        </w:rPr>
      </w:pPr>
    </w:p>
    <w:p>
      <w:pPr>
        <w:sectPr>
          <w:pgSz w:w="11900" w:h="16838" w:orient="portrait"/>
          <w:cols w:equalWidth="0" w:num="3">
            <w:col w:w="1466" w:space="180"/>
            <w:col w:w="3200" w:space="280"/>
            <w:col w:w="5860"/>
          </w:cols>
          <w:pgMar w:left="234" w:top="294" w:right="679" w:bottom="482" w:gutter="0" w:footer="0" w:header="0"/>
          <w:type w:val="continuous"/>
        </w:sectPr>
      </w:pPr>
    </w:p>
    <w:p>
      <w:pPr>
        <w:spacing w:after="0" w:line="335"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spacing w:after="0" w:line="359"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FOR VALUE RECEIVED,___________________________hereby sell, assign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transfer unto</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6"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IDENTIFYING NUMBER OF ASSIGNEE</w:t>
      </w:r>
    </w:p>
    <w:p>
      <w:pPr>
        <w:spacing w:after="0" w:line="6" w:lineRule="exact"/>
        <w:rPr>
          <w:sz w:val="20"/>
          <w:szCs w:val="20"/>
          <w:color w:val="auto"/>
        </w:rPr>
      </w:pPr>
    </w:p>
    <w:p>
      <w:pPr>
        <w:ind w:left="186" w:hanging="186"/>
        <w:spacing w:after="0"/>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6" w:lineRule="exact"/>
        <w:rPr>
          <w:sz w:val="20"/>
          <w:szCs w:val="20"/>
          <w:color w:val="auto"/>
        </w:rPr>
      </w:pPr>
    </w:p>
    <w:p>
      <w:pPr>
        <w:jc w:val="center"/>
        <w:ind w:right="3734"/>
        <w:spacing w:after="0"/>
        <w:rPr>
          <w:sz w:val="20"/>
          <w:szCs w:val="20"/>
          <w:color w:val="auto"/>
        </w:rPr>
      </w:pPr>
      <w:r>
        <w:rPr>
          <w:rFonts w:ascii="Courier New" w:cs="Courier New" w:eastAsia="Courier New" w:hAnsi="Courier New"/>
          <w:sz w:val="15"/>
          <w:szCs w:val="15"/>
          <w:color w:val="auto"/>
        </w:rPr>
        <w:t>(PLEASE PRINT OR TYPEWRITE NAME AND ADDRESS, INCLUDING ZIP CODE, OF ASSIGNEE)</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 Shares</w:t>
      </w:r>
    </w:p>
    <w:p>
      <w:pPr>
        <w:spacing w:after="0" w:line="6" w:lineRule="exact"/>
        <w:rPr>
          <w:sz w:val="20"/>
          <w:szCs w:val="20"/>
          <w:color w:val="auto"/>
        </w:rPr>
      </w:pPr>
    </w:p>
    <w:p>
      <w:pPr>
        <w:ind w:left="6" w:right="4380"/>
        <w:spacing w:after="0" w:line="250" w:lineRule="auto"/>
        <w:rPr>
          <w:sz w:val="20"/>
          <w:szCs w:val="20"/>
          <w:color w:val="auto"/>
        </w:rPr>
      </w:pPr>
      <w:r>
        <w:rPr>
          <w:rFonts w:ascii="Courier New" w:cs="Courier New" w:eastAsia="Courier New" w:hAnsi="Courier New"/>
          <w:sz w:val="15"/>
          <w:szCs w:val="15"/>
          <w:color w:val="auto"/>
        </w:rPr>
        <w:t>of the common stock represented by the within Certificate, and do hereby irrevocably constitute and appoint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______________________________________________________________________ Attorney</w:t>
      </w:r>
    </w:p>
    <w:p>
      <w:pPr>
        <w:spacing w:after="0" w:line="6" w:lineRule="exact"/>
        <w:rPr>
          <w:sz w:val="20"/>
          <w:szCs w:val="20"/>
          <w:color w:val="auto"/>
        </w:rPr>
      </w:pPr>
    </w:p>
    <w:p>
      <w:pPr>
        <w:ind w:left="6" w:right="4480"/>
        <w:spacing w:after="0" w:line="250" w:lineRule="auto"/>
        <w:rPr>
          <w:sz w:val="20"/>
          <w:szCs w:val="20"/>
          <w:color w:val="auto"/>
        </w:rPr>
      </w:pPr>
      <w:r>
        <w:rPr>
          <w:rFonts w:ascii="Courier New" w:cs="Courier New" w:eastAsia="Courier New" w:hAnsi="Courier New"/>
          <w:sz w:val="15"/>
          <w:szCs w:val="15"/>
          <w:color w:val="auto"/>
        </w:rPr>
        <w:t>to transfer the said stock on the books of the within named Corporation with full power of substitution in the premises.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Dated________________________</w:t>
      </w:r>
    </w:p>
    <w:p>
      <w:pPr>
        <w:spacing w:after="0" w:line="359"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X_______________________________________________</w:t>
      </w:r>
    </w:p>
    <w:p>
      <w:pPr>
        <w:spacing w:after="0" w:line="182"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X_______________________________________________</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THE SIGNATURE(S) TO THIS ASSIGNMENT MUST</w:t>
      </w:r>
    </w:p>
    <w:p>
      <w:pPr>
        <w:spacing w:after="0" w:line="6" w:lineRule="exact"/>
        <w:rPr>
          <w:sz w:val="20"/>
          <w:szCs w:val="20"/>
          <w:color w:val="auto"/>
        </w:rPr>
      </w:pPr>
    </w:p>
    <w:p>
      <w:pPr>
        <w:jc w:val="right"/>
        <w:ind w:right="3660"/>
        <w:spacing w:after="0"/>
        <w:rPr>
          <w:sz w:val="20"/>
          <w:szCs w:val="20"/>
          <w:color w:val="auto"/>
        </w:rPr>
      </w:pPr>
      <w:r>
        <w:rPr>
          <w:rFonts w:ascii="Courier New" w:cs="Courier New" w:eastAsia="Courier New" w:hAnsi="Courier New"/>
          <w:sz w:val="15"/>
          <w:szCs w:val="15"/>
          <w:color w:val="auto"/>
        </w:rPr>
        <w:t>CORRESPOND WITH THE NAME(S) AS WRITTEN UPON THE</w:t>
      </w:r>
    </w:p>
    <w:p>
      <w:pPr>
        <w:spacing w:after="0" w:line="6" w:lineRule="exact"/>
        <w:rPr>
          <w:sz w:val="20"/>
          <w:szCs w:val="20"/>
          <w:color w:val="auto"/>
        </w:rPr>
      </w:pPr>
    </w:p>
    <w:p>
      <w:pPr>
        <w:ind w:left="2106"/>
        <w:spacing w:after="0"/>
        <w:tabs>
          <w:tab w:leader="none" w:pos="3006" w:val="left"/>
        </w:tabs>
        <w:rPr>
          <w:sz w:val="20"/>
          <w:szCs w:val="20"/>
          <w:color w:val="auto"/>
        </w:rPr>
      </w:pPr>
      <w:r>
        <w:rPr>
          <w:rFonts w:ascii="Courier New" w:cs="Courier New" w:eastAsia="Courier New" w:hAnsi="Courier New"/>
          <w:sz w:val="15"/>
          <w:szCs w:val="15"/>
          <w:color w:val="auto"/>
        </w:rPr>
        <w:t>NOTICE:</w:t>
      </w:r>
      <w:r>
        <w:rPr>
          <w:sz w:val="20"/>
          <w:szCs w:val="20"/>
          <w:color w:val="auto"/>
        </w:rPr>
        <w:tab/>
      </w:r>
      <w:r>
        <w:rPr>
          <w:rFonts w:ascii="Courier New" w:cs="Courier New" w:eastAsia="Courier New" w:hAnsi="Courier New"/>
          <w:sz w:val="15"/>
          <w:szCs w:val="15"/>
          <w:color w:val="auto"/>
        </w:rPr>
        <w:t>FACE OF THE CERTIFICATE IN EVERY PARTICULAR,</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WITHOUT ALTERATION OR ENLARGEMENT OR ANY</w:t>
      </w:r>
    </w:p>
    <w:p>
      <w:pPr>
        <w:spacing w:after="0" w:line="6" w:lineRule="exact"/>
        <w:rPr>
          <w:sz w:val="20"/>
          <w:szCs w:val="20"/>
          <w:color w:val="auto"/>
        </w:rPr>
      </w:pPr>
    </w:p>
    <w:p>
      <w:pPr>
        <w:ind w:left="3026"/>
        <w:spacing w:after="0"/>
        <w:rPr>
          <w:sz w:val="20"/>
          <w:szCs w:val="20"/>
          <w:color w:val="auto"/>
        </w:rPr>
      </w:pPr>
      <w:r>
        <w:rPr>
          <w:rFonts w:ascii="Courier New" w:cs="Courier New" w:eastAsia="Courier New" w:hAnsi="Courier New"/>
          <w:sz w:val="15"/>
          <w:szCs w:val="15"/>
          <w:color w:val="auto"/>
        </w:rPr>
        <w:t>CHANGE WHATEVER.</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Signature(s) Guaranteed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By___________________________________</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SIGNATURE(S) SHOULD BE GUARANTEED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BY AN ELIGIBLE GUARANTOR INSTITUTION</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(BANKS, STOCKBROKERS, SAVINGS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LOAN ASSOCIATIONS AND CREDIT UNIONS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WITH MEMBERSHIP IN AN APPROVED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SIGNATURE GUARANTEE MEDALLION PROGRAM),</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PURSUANT TO S.E.C. RULE 17Ad-15.</w:t>
      </w:r>
    </w:p>
    <w:p>
      <w:pPr>
        <w:sectPr>
          <w:pgSz w:w="11900" w:h="16838" w:orient="portrait"/>
          <w:cols w:equalWidth="0" w:num="1">
            <w:col w:w="10986"/>
          </w:cols>
          <w:pgMar w:left="234" w:top="294" w:right="679" w:bottom="482" w:gutter="0" w:footer="0" w:header="0"/>
          <w:type w:val="continuous"/>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5.1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 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1340 W. Middlefield Road</w:t>
      </w:r>
    </w:p>
    <w:p>
      <w:pPr>
        <w:spacing w:after="0" w:line="6"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Mountain View, CA</w:t>
        <w:tab/>
        <w:t>94043</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You have requested our opinion with respect to certain matters in connection with the filing by Intuitive Surgical, Inc. (the "Company") of a Registration Statement on Form S-1 (File No. 333-33016) (the "Registration Statement") with the Securities and Exchange Commission covering an underwritten public offering of up to nine million two hundred thousand (9,200,000) shares of the Company's Common Stock, par value $.001 (the "Common Stock").</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 connection with this opinion, we have (i) examined and relied upon the Registration Statement and related Prospectus, the Company's Restated Certificate of Incorporation and Bylaws, as currently in effect, and the originals or copies certified to our satisfaction of such records, documents, certificates, memoranda and other instruments as in our judgment are necessary or appropriate to enable us to render the opinion expressed below; (ii) assumed that the Amended and Restated Certificate of Incorporation, as set forth in Exhibit 3.2 of the Registration Statement, shall have been duly approved and filed with the office of the Delaware Secretary of State; and (iii) that the shares of Common Stock will be sold by the Underwriters at a price established by the Pricing Committee of the Board of Directors of the Company.</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On the basis of the foregoing, and in reliance thereon, we are of the opinion that the Common Stock, when sold and issued in accordance with the Registration Statement and related Prospectus, will be validly issued, fully paid and non-assessable.</w:t>
      </w:r>
    </w:p>
    <w:p>
      <w:pPr>
        <w:spacing w:after="0" w:line="176"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We consent to the reference to our firm under the caption "Legal Matters" in the Prospectus included on the Registration Statement and to the filing of this opinion as an exhibit to the Registration Statement.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COOLEY GODWARD LLP</w:t>
      </w:r>
    </w:p>
    <w:p>
      <w:pPr>
        <w:spacing w:after="0" w:line="359"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By:</w:t>
        <w:tab/>
        <w:t>/s/ Laura A. Berezin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Laura A. Berezin</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42" w:right="1440" w:bottom="1440" w:gutter="0" w:footer="0" w:header="0"/>
        </w:sectPr>
      </w:pPr>
    </w:p>
    <w:bookmarkStart w:id="110" w:name="page111"/>
    <w:bookmarkEnd w:id="110"/>
    <w:p>
      <w:pPr>
        <w:ind w:left="266"/>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10.3</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INTUITIVE SURGICAL,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82"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ADOPTED MARCH 17, 2000</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APPROVED BY STOCKHOLDERS APRIL 26, 2000</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EFFECTIVE DATE: ________, 2000</w:t>
      </w:r>
    </w:p>
    <w:p>
      <w:pPr>
        <w:spacing w:after="0" w:line="6" w:lineRule="exact"/>
        <w:rPr>
          <w:sz w:val="20"/>
          <w:szCs w:val="20"/>
          <w:color w:val="auto"/>
        </w:rPr>
      </w:pPr>
    </w:p>
    <w:p>
      <w:pPr>
        <w:ind w:left="2666"/>
        <w:spacing w:after="0"/>
        <w:rPr>
          <w:sz w:val="20"/>
          <w:szCs w:val="20"/>
          <w:color w:val="auto"/>
        </w:rPr>
      </w:pPr>
      <w:r>
        <w:rPr>
          <w:rFonts w:ascii="Courier New" w:cs="Courier New" w:eastAsia="Courier New" w:hAnsi="Courier New"/>
          <w:sz w:val="15"/>
          <w:szCs w:val="15"/>
          <w:color w:val="auto"/>
        </w:rPr>
        <w:t>TERMINATION DATE: NONE</w:t>
      </w:r>
    </w:p>
    <w:p>
      <w:pPr>
        <w:spacing w:after="0" w:line="182" w:lineRule="exact"/>
        <w:rPr>
          <w:sz w:val="20"/>
          <w:szCs w:val="20"/>
          <w:color w:val="auto"/>
        </w:rPr>
      </w:pPr>
    </w:p>
    <w:p>
      <w:pPr>
        <w:ind w:left="726" w:hanging="726"/>
        <w:spacing w:after="0"/>
        <w:tabs>
          <w:tab w:leader="none" w:pos="7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w:t>
      </w:r>
    </w:p>
    <w:p>
      <w:pPr>
        <w:spacing w:after="0" w:line="182" w:lineRule="exact"/>
        <w:rPr>
          <w:rFonts w:ascii="Courier New" w:cs="Courier New" w:eastAsia="Courier New" w:hAnsi="Courier New"/>
          <w:sz w:val="15"/>
          <w:szCs w:val="15"/>
          <w:color w:val="auto"/>
        </w:rPr>
      </w:pPr>
    </w:p>
    <w:p>
      <w:pPr>
        <w:ind w:left="6" w:right="2979" w:firstLine="727"/>
        <w:spacing w:after="0" w:line="250"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OPTION RECIPIENTS. The persons eligible to receive Options are the Non-Employee Directors of the Company.</w:t>
      </w:r>
    </w:p>
    <w:p>
      <w:pPr>
        <w:spacing w:after="0" w:line="174"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OPTIONS. The purpose of the Plan is to provide a means by which Non-Employee Directors may be given an opportunity to benefit from increases in value of the Common Stock through the granting of Nonstatutory Stock Options.</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PURPOSE. The Company, by means of the Plan, seeks to retain the services of its Non-Employee Directors, to secure and retain the services of new Non-Employee Directors and to provide incentives for such persons to exert maximum efforts for the success of the Company and its Affiliates.</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any parent corporation or subsidiary corporation of the Company, whether now or hereafter existing, as those terms are defined in Sections 424(e) and (f), respectively, of the Code.</w:t>
      </w:r>
    </w:p>
    <w:p>
      <w:pPr>
        <w:spacing w:after="0" w:line="175"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 means an Option granted annually to all Non-Employee Directors who meet the specified criteria pursuant to subsection 6(b) of the Plan.</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 means the annual meeting of the stockholders of the</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82"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82"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82"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common stock of the Company.</w:t>
      </w:r>
    </w:p>
    <w:p>
      <w:pPr>
        <w:spacing w:after="0" w:line="182"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Intuitive Surgical, Inc., a Delaware corporation.</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any person, including an advisor, (i) engaged by the Company or an Affiliate to render consulting or advisory services and who is compensated for such services or (ii) who is a member of the Board of Directors of an Affiliate. However, the</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5"/>
          </w:cols>
          <w:pgMar w:left="234" w:top="141"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2</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term "Consultant" shall not include either Directors of the Company who are not compensated by the Company for their services as Directors or Directors of the Company who are merely paid a director's fee by the Company for their services as Directors.</w:t>
      </w:r>
    </w:p>
    <w:p>
      <w:pPr>
        <w:spacing w:after="0" w:line="176" w:lineRule="exact"/>
        <w:rPr>
          <w:sz w:val="20"/>
          <w:szCs w:val="20"/>
          <w:color w:val="auto"/>
        </w:rPr>
      </w:pPr>
    </w:p>
    <w:p>
      <w:pPr>
        <w:ind w:right="2979" w:firstLine="727"/>
        <w:spacing w:after="0" w:line="248" w:lineRule="auto"/>
        <w:tabs>
          <w:tab w:leader="none" w:pos="10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"CONTINUOUS SERVICE" means that the Optionholder's service with the Company or an Affiliate, whether as an Employee, Director or Consultant, is not interrupted or terminated. The Optionholder's Continuous Service shall not be deemed to have terminated merely because of a change in the capacity in which the Optionholder renders service to the Company or an Affiliate as an Employee, Consultant or Director or a change in the entity for which the Optionholder renders such service, provided that there is no interruption or termination of the Optionholder's Continuous Service. For example, a change in status from a Non-Employee Director of the Company to a Consultant of an Affiliate or an Employee of the Company will not constitute an interruption of Continuous Service.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w:t>
      </w:r>
    </w:p>
    <w:p>
      <w:pPr>
        <w:spacing w:after="0" w:line="184" w:lineRule="exact"/>
        <w:rPr>
          <w:rFonts w:ascii="Courier New" w:cs="Courier New" w:eastAsia="Courier New" w:hAnsi="Courier New"/>
          <w:sz w:val="15"/>
          <w:szCs w:val="15"/>
          <w:color w:val="auto"/>
        </w:rPr>
      </w:pPr>
    </w:p>
    <w:p>
      <w:pPr>
        <w:ind w:left="1100" w:hanging="373"/>
        <w:spacing w:after="0"/>
        <w:tabs>
          <w:tab w:leader="none" w:pos="11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of Directors of the Company.</w:t>
      </w:r>
    </w:p>
    <w:p>
      <w:pPr>
        <w:spacing w:after="0" w:line="182" w:lineRule="exact"/>
        <w:rPr>
          <w:rFonts w:ascii="Courier New" w:cs="Courier New" w:eastAsia="Courier New" w:hAnsi="Courier New"/>
          <w:sz w:val="15"/>
          <w:szCs w:val="15"/>
          <w:color w:val="auto"/>
        </w:rPr>
      </w:pPr>
    </w:p>
    <w:p>
      <w:pPr>
        <w:ind w:right="3179" w:firstLine="727"/>
        <w:spacing w:after="0" w:line="250" w:lineRule="auto"/>
        <w:tabs>
          <w:tab w:leader="none" w:pos="10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the permanent and total disability of a person within the meaning of Section 22(e)(3) of the Code.</w:t>
      </w:r>
    </w:p>
    <w:p>
      <w:pPr>
        <w:spacing w:after="0" w:line="174" w:lineRule="exact"/>
        <w:rPr>
          <w:rFonts w:ascii="Courier New" w:cs="Courier New" w:eastAsia="Courier New" w:hAnsi="Courier New"/>
          <w:sz w:val="15"/>
          <w:szCs w:val="15"/>
          <w:color w:val="auto"/>
        </w:rPr>
      </w:pPr>
    </w:p>
    <w:p>
      <w:pPr>
        <w:ind w:right="2899" w:firstLine="727"/>
        <w:spacing w:after="0" w:line="249" w:lineRule="auto"/>
        <w:tabs>
          <w:tab w:leader="none" w:pos="10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any person employed by the Company or an Affiliate. Mere service as a Director or payment of a director's fee by the Company or an Affiliate shall not be sufficient to constitute "employment" by the Company or an Affiliate.</w:t>
      </w:r>
    </w:p>
    <w:p>
      <w:pPr>
        <w:spacing w:after="0" w:line="175" w:lineRule="exact"/>
        <w:rPr>
          <w:rFonts w:ascii="Courier New" w:cs="Courier New" w:eastAsia="Courier New" w:hAnsi="Courier New"/>
          <w:sz w:val="15"/>
          <w:szCs w:val="15"/>
          <w:color w:val="auto"/>
        </w:rPr>
      </w:pPr>
    </w:p>
    <w:p>
      <w:pPr>
        <w:ind w:left="1100" w:hanging="373"/>
        <w:spacing w:after="0"/>
        <w:tabs>
          <w:tab w:leader="none" w:pos="11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 of 1934, as</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amended.</w:t>
      </w:r>
    </w:p>
    <w:p>
      <w:pPr>
        <w:spacing w:after="0" w:line="182" w:lineRule="exact"/>
        <w:rPr>
          <w:rFonts w:ascii="Courier New" w:cs="Courier New" w:eastAsia="Courier New" w:hAnsi="Courier New"/>
          <w:sz w:val="15"/>
          <w:szCs w:val="15"/>
          <w:color w:val="auto"/>
        </w:rPr>
      </w:pPr>
    </w:p>
    <w:p>
      <w:pPr>
        <w:ind w:right="3079" w:firstLine="727"/>
        <w:spacing w:after="0" w:line="250" w:lineRule="auto"/>
        <w:tabs>
          <w:tab w:leader="none" w:pos="10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as of any date, the value of the Common Stock determined as follows:</w:t>
      </w:r>
    </w:p>
    <w:p>
      <w:pPr>
        <w:spacing w:after="0" w:line="174" w:lineRule="exact"/>
        <w:rPr>
          <w:rFonts w:ascii="Courier New" w:cs="Courier New" w:eastAsia="Courier New" w:hAnsi="Courier New"/>
          <w:sz w:val="15"/>
          <w:szCs w:val="15"/>
          <w:color w:val="auto"/>
        </w:rPr>
      </w:pPr>
    </w:p>
    <w:p>
      <w:pPr>
        <w:ind w:right="2899" w:firstLine="1368"/>
        <w:spacing w:after="0" w:line="249" w:lineRule="auto"/>
        <w:tabs>
          <w:tab w:leader="none" w:pos="1741"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listed on any established stock exchange or traded on the Nasdaq National Market or the Nasdaq SmallCap Market, the Fair Market Value of a share of Common Stock shall be the closing sales price for such stock (or the closing bid, if no sales were reported) as quoted on such exchange or market (or the exchange or market with the greatest volume of trading in the Common Stock) on the last market trading day prior to the day of determination, as reported in The Wall Street Journal or such other source as the Board deems reliable.</w:t>
      </w:r>
    </w:p>
    <w:p>
      <w:pPr>
        <w:spacing w:after="0" w:line="175" w:lineRule="exact"/>
        <w:rPr>
          <w:rFonts w:ascii="Courier New" w:cs="Courier New" w:eastAsia="Courier New" w:hAnsi="Courier New"/>
          <w:sz w:val="15"/>
          <w:szCs w:val="15"/>
          <w:color w:val="auto"/>
        </w:rPr>
      </w:pPr>
    </w:p>
    <w:p>
      <w:pPr>
        <w:ind w:right="3259" w:firstLine="1368"/>
        <w:spacing w:after="0" w:line="250" w:lineRule="auto"/>
        <w:tabs>
          <w:tab w:leader="none" w:pos="1832"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such markets for the Common Stock, the Fair Market Value shall be determined in good faith by the Board.</w:t>
      </w:r>
    </w:p>
    <w:p>
      <w:pPr>
        <w:spacing w:after="0" w:line="174" w:lineRule="exact"/>
        <w:rPr>
          <w:rFonts w:ascii="Courier New" w:cs="Courier New" w:eastAsia="Courier New" w:hAnsi="Courier New"/>
          <w:sz w:val="15"/>
          <w:szCs w:val="15"/>
          <w:color w:val="auto"/>
        </w:rPr>
      </w:pPr>
    </w:p>
    <w:p>
      <w:pPr>
        <w:ind w:right="3079" w:firstLine="727"/>
        <w:spacing w:after="0" w:line="250" w:lineRule="auto"/>
        <w:tabs>
          <w:tab w:leader="none" w:pos="109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 means an Option granted to a Non-Employee Director who meets the specified criteria pursuant to subsection 6(a) of the Plan.</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4" w:right="1440" w:bottom="1440" w:gutter="0" w:footer="0" w:header="0"/>
        </w:sectPr>
      </w:pPr>
    </w:p>
    <w:bookmarkStart w:id="112" w:name="page113"/>
    <w:bookmarkEnd w:id="112"/>
    <w:p>
      <w:pPr>
        <w:ind w:left="266"/>
        <w:spacing w:after="0"/>
        <w:rPr>
          <w:sz w:val="20"/>
          <w:szCs w:val="20"/>
          <w:color w:val="auto"/>
        </w:rPr>
      </w:pPr>
      <w:r>
        <w:rPr>
          <w:rFonts w:ascii="Courier New" w:cs="Courier New" w:eastAsia="Courier New" w:hAnsi="Courier New"/>
          <w:sz w:val="15"/>
          <w:szCs w:val="15"/>
          <w:color w:val="auto"/>
        </w:rPr>
        <w:t>3</w:t>
      </w:r>
    </w:p>
    <w:p>
      <w:pPr>
        <w:spacing w:after="0" w:line="182" w:lineRule="exact"/>
        <w:rPr>
          <w:sz w:val="20"/>
          <w:szCs w:val="20"/>
          <w:color w:val="auto"/>
        </w:rPr>
      </w:pPr>
    </w:p>
    <w:p>
      <w:pPr>
        <w:ind w:left="6" w:right="3079" w:firstLine="727"/>
        <w:spacing w:after="0" w:line="250"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"IPO DATE" means the effective date of the initial public offering of the Common Stock.</w:t>
      </w:r>
    </w:p>
    <w:p>
      <w:pPr>
        <w:spacing w:after="0" w:line="174"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DIRECTOR" means a Director who is not an Employee.</w:t>
      </w:r>
    </w:p>
    <w:p>
      <w:pPr>
        <w:spacing w:after="0" w:line="182"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STOCK OPTION" means an Option not intended to qualify as an incentive stock option within the meaning of Section 422 of the Code and the regulations promulgated thereunder.</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 person who is an officer of the Company within the meaning of Section 16 of the Exchange Act and the rules and regulations promulgated thereunder.</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Nonstatutory Stock Option granted pursuant to the</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a written agreement between the Company and an Optionholder evidencing the terms and conditions of an individual Option grant. Each Option Agreement shall be subject to the terms and conditions of the Plan.</w:t>
      </w:r>
    </w:p>
    <w:p>
      <w:pPr>
        <w:spacing w:after="0" w:line="175"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"OPTIONHOLDER" means a person to whom an Option is granted pursuant to the Plan or, if applicable, such other person who holds an outstanding Option.</w:t>
      </w:r>
    </w:p>
    <w:p>
      <w:pPr>
        <w:spacing w:after="0" w:line="175" w:lineRule="exact"/>
        <w:rPr>
          <w:rFonts w:ascii="Courier New" w:cs="Courier New" w:eastAsia="Courier New" w:hAnsi="Courier New"/>
          <w:sz w:val="15"/>
          <w:szCs w:val="15"/>
          <w:color w:val="auto"/>
        </w:rPr>
      </w:pPr>
    </w:p>
    <w:p>
      <w:pPr>
        <w:ind w:left="6" w:right="3619" w:firstLine="727"/>
        <w:spacing w:after="0" w:line="250"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Intuitive Surgical, Inc. 2000 Non-Employee Directors' Stock Option Plan.</w:t>
      </w:r>
    </w:p>
    <w:p>
      <w:pPr>
        <w:spacing w:after="0" w:line="174" w:lineRule="exact"/>
        <w:rPr>
          <w:rFonts w:ascii="Courier New" w:cs="Courier New" w:eastAsia="Courier New" w:hAnsi="Courier New"/>
          <w:sz w:val="15"/>
          <w:szCs w:val="15"/>
          <w:color w:val="auto"/>
        </w:rPr>
      </w:pPr>
    </w:p>
    <w:p>
      <w:pPr>
        <w:ind w:left="6" w:right="2979" w:firstLine="727"/>
        <w:spacing w:after="0" w:line="250" w:lineRule="auto"/>
        <w:tabs>
          <w:tab w:leader="none" w:pos="1105"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Exchange Act or any successor to Rule 16b-3, as in effect from time to time.</w:t>
      </w:r>
    </w:p>
    <w:p>
      <w:pPr>
        <w:spacing w:after="0" w:line="174"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 1933, as amended.</w:t>
      </w:r>
    </w:p>
    <w:p>
      <w:pPr>
        <w:spacing w:after="0" w:line="182"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82" w:lineRule="exact"/>
        <w:rPr>
          <w:rFonts w:ascii="Courier New" w:cs="Courier New" w:eastAsia="Courier New" w:hAnsi="Courier New"/>
          <w:sz w:val="15"/>
          <w:szCs w:val="15"/>
          <w:color w:val="auto"/>
        </w:rPr>
      </w:pPr>
    </w:p>
    <w:p>
      <w:pPr>
        <w:ind w:left="6" w:right="3179" w:firstLine="727"/>
        <w:spacing w:after="0" w:line="250" w:lineRule="auto"/>
        <w:tabs>
          <w:tab w:leader="none" w:pos="11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BY BOARD. The Board shall administer the Plan. The Board may not delegate administration of the Plan to a committee.</w:t>
      </w:r>
    </w:p>
    <w:p>
      <w:pPr>
        <w:spacing w:after="0" w:line="174" w:lineRule="exact"/>
        <w:rPr>
          <w:rFonts w:ascii="Courier New" w:cs="Courier New" w:eastAsia="Courier New" w:hAnsi="Courier New"/>
          <w:sz w:val="15"/>
          <w:szCs w:val="15"/>
          <w:color w:val="auto"/>
        </w:rPr>
      </w:pPr>
    </w:p>
    <w:p>
      <w:pPr>
        <w:ind w:left="6" w:right="3259" w:firstLine="727"/>
        <w:spacing w:after="0" w:line="250" w:lineRule="auto"/>
        <w:tabs>
          <w:tab w:leader="none" w:pos="1105"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BOARD. The Board shall have the power, subject to, and within the limitations of, the express provisions of the Plan:</w:t>
      </w:r>
    </w:p>
    <w:p>
      <w:pPr>
        <w:spacing w:after="0" w:line="174" w:lineRule="exact"/>
        <w:rPr>
          <w:rFonts w:ascii="Courier New" w:cs="Courier New" w:eastAsia="Courier New" w:hAnsi="Courier New"/>
          <w:sz w:val="15"/>
          <w:szCs w:val="15"/>
          <w:color w:val="auto"/>
        </w:rPr>
      </w:pPr>
    </w:p>
    <w:p>
      <w:pPr>
        <w:ind w:left="6" w:right="2979" w:firstLine="1368"/>
        <w:spacing w:after="0" w:line="250" w:lineRule="auto"/>
        <w:tabs>
          <w:tab w:leader="none" w:pos="1747"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provisions of each Option to the extent not specified in the Plan.</w:t>
      </w:r>
    </w:p>
    <w:p>
      <w:pPr>
        <w:spacing w:after="0" w:line="174" w:lineRule="exact"/>
        <w:rPr>
          <w:rFonts w:ascii="Courier New" w:cs="Courier New" w:eastAsia="Courier New" w:hAnsi="Courier New"/>
          <w:sz w:val="15"/>
          <w:szCs w:val="15"/>
          <w:color w:val="auto"/>
        </w:rPr>
      </w:pPr>
    </w:p>
    <w:p>
      <w:pPr>
        <w:ind w:left="6" w:right="2899" w:firstLine="1368"/>
        <w:spacing w:after="0" w:line="249" w:lineRule="auto"/>
        <w:tabs>
          <w:tab w:leader="none" w:pos="1838"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construe and interpret the Plan and Options granted under it, and to establish, amend and revoke rules and regulations for its administration. The Board, in the exercise of this power, may correct any defect, omission or inconsistency in the Plan or in any Option Agreement, in a manner and to the extent it shall deem necessary or expedient to make the Plan fully effective.</w:t>
      </w:r>
    </w:p>
    <w:p>
      <w:pPr>
        <w:spacing w:after="0" w:line="175" w:lineRule="exact"/>
        <w:rPr>
          <w:rFonts w:ascii="Courier New" w:cs="Courier New" w:eastAsia="Courier New" w:hAnsi="Courier New"/>
          <w:sz w:val="15"/>
          <w:szCs w:val="15"/>
          <w:color w:val="auto"/>
        </w:rPr>
      </w:pPr>
    </w:p>
    <w:p>
      <w:pPr>
        <w:ind w:left="1926" w:hanging="552"/>
        <w:spacing w:after="0"/>
        <w:tabs>
          <w:tab w:leader="none" w:pos="1926" w:val="left"/>
        </w:tabs>
        <w:numPr>
          <w:ilvl w:val="2"/>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amend the Plan or an Option as provided in Section 12.</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440" w:gutter="0" w:footer="0" w:header="0"/>
        </w:sectPr>
      </w:pPr>
    </w:p>
    <w:bookmarkStart w:id="113" w:name="page114"/>
    <w:bookmarkEnd w:id="113"/>
    <w:p>
      <w:pPr>
        <w:ind w:left="266"/>
        <w:spacing w:after="0"/>
        <w:rPr>
          <w:sz w:val="20"/>
          <w:szCs w:val="20"/>
          <w:color w:val="auto"/>
        </w:rPr>
      </w:pPr>
      <w:r>
        <w:rPr>
          <w:rFonts w:ascii="Courier New" w:cs="Courier New" w:eastAsia="Courier New" w:hAnsi="Courier New"/>
          <w:sz w:val="15"/>
          <w:szCs w:val="15"/>
          <w:color w:val="auto"/>
        </w:rPr>
        <w:t>4</w:t>
      </w:r>
    </w:p>
    <w:p>
      <w:pPr>
        <w:spacing w:after="0" w:line="182" w:lineRule="exact"/>
        <w:rPr>
          <w:sz w:val="20"/>
          <w:szCs w:val="20"/>
          <w:color w:val="auto"/>
        </w:rPr>
      </w:pPr>
    </w:p>
    <w:p>
      <w:pPr>
        <w:ind w:left="6" w:right="2979" w:firstLine="1368"/>
        <w:spacing w:after="0" w:line="249" w:lineRule="auto"/>
        <w:tabs>
          <w:tab w:leader="none" w:pos="1838"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Generally, to exercise such powers and to perform such acts as the Board deems necessary or expedient to promote the best interests of the Company that are not in conflict with the provisions of the Plan.</w:t>
      </w:r>
    </w:p>
    <w:p>
      <w:pPr>
        <w:spacing w:after="0" w:line="175" w:lineRule="exact"/>
        <w:rPr>
          <w:rFonts w:ascii="Courier New" w:cs="Courier New" w:eastAsia="Courier New" w:hAnsi="Courier New"/>
          <w:sz w:val="15"/>
          <w:szCs w:val="15"/>
          <w:color w:val="auto"/>
        </w:rPr>
      </w:pPr>
    </w:p>
    <w:p>
      <w:pPr>
        <w:jc w:val="both"/>
        <w:ind w:left="6" w:right="2979" w:firstLine="727"/>
        <w:spacing w:after="0" w:line="249" w:lineRule="auto"/>
        <w:tabs>
          <w:tab w:leader="none" w:pos="1105"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BOARD'S DECISION. All determinations, interpretations and constructions made by the Board in good faith shall not be subject to review by any person and shall be final, binding and conclusive on all persons.</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82" w:lineRule="exact"/>
        <w:rPr>
          <w:rFonts w:ascii="Courier New" w:cs="Courier New" w:eastAsia="Courier New" w:hAnsi="Courier New"/>
          <w:sz w:val="15"/>
          <w:szCs w:val="15"/>
          <w:color w:val="auto"/>
        </w:rPr>
      </w:pPr>
    </w:p>
    <w:p>
      <w:pPr>
        <w:ind w:left="6" w:right="3079" w:firstLine="727"/>
        <w:spacing w:after="0" w:line="249" w:lineRule="auto"/>
        <w:tabs>
          <w:tab w:leader="none" w:pos="110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RESERVE. Subject to the provisions of Section 11 relating to adjustments upon changes in the Common Stock, the Common Stock that may be issued pursuant to Options shall not exceed in the aggregate Three Hundred Thousand (300,000) shares of Common Stock.</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EVERGREEN SHARE RESERVE INCREASE.</w:t>
      </w:r>
    </w:p>
    <w:p>
      <w:pPr>
        <w:spacing w:after="0" w:line="182" w:lineRule="exact"/>
        <w:rPr>
          <w:rFonts w:ascii="Courier New" w:cs="Courier New" w:eastAsia="Courier New" w:hAnsi="Courier New"/>
          <w:sz w:val="15"/>
          <w:szCs w:val="15"/>
          <w:color w:val="auto"/>
        </w:rPr>
      </w:pPr>
    </w:p>
    <w:p>
      <w:pPr>
        <w:ind w:left="6" w:right="2899" w:firstLine="1368"/>
        <w:spacing w:after="0" w:line="249" w:lineRule="auto"/>
        <w:tabs>
          <w:tab w:leader="none" w:pos="1747"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subsection 4(a) hereof, on the day after each Annual Meeting (the "Calculation Date") for a period of ten (10) years, commencing with the Annual Meeting in 2001, the aggregate number of shares of Common Stock that is available for issuance under the Plan shall automatically be increased by that number of shares equal to the greater of (1) three-tenths of one percent (0.3%) of the Diluted Shares Outstanding or (2) the number of shares of Common Stock subject to Options granted during the prior 12-month period; provided, however, that the Board, from time to time, may provide for a lesser increase in the aggregate number of shares of Common Stock that is available for issuance under the Plan</w:t>
      </w:r>
    </w:p>
    <w:p>
      <w:pPr>
        <w:spacing w:after="0" w:line="175" w:lineRule="exact"/>
        <w:rPr>
          <w:rFonts w:ascii="Courier New" w:cs="Courier New" w:eastAsia="Courier New" w:hAnsi="Courier New"/>
          <w:sz w:val="15"/>
          <w:szCs w:val="15"/>
          <w:color w:val="auto"/>
        </w:rPr>
      </w:pPr>
    </w:p>
    <w:p>
      <w:pPr>
        <w:ind w:left="6" w:right="2899" w:firstLine="1368"/>
        <w:spacing w:after="0" w:line="249" w:lineRule="auto"/>
        <w:tabs>
          <w:tab w:leader="none" w:pos="1838" w:val="left"/>
        </w:tabs>
        <w:numPr>
          <w:ilvl w:val="2"/>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Shares Outstanding" shall mean, as of any date, (1) the number of outstanding shares of Common Stock of the Company on such Calculation Date, plus (2) the number of shares of Common Stock issuable upon such Calculation Date assuming the conversion of all outstanding Preferred Stock and convertible notes, plus (3) the additional number of dilutive Common Stock equivalent shares outstanding as the result of any options or warrants outstanding during the fiscal year, calculated using the treasury stock method.</w:t>
      </w:r>
    </w:p>
    <w:p>
      <w:pPr>
        <w:spacing w:after="0" w:line="175" w:lineRule="exact"/>
        <w:rPr>
          <w:rFonts w:ascii="Courier New" w:cs="Courier New" w:eastAsia="Courier New" w:hAnsi="Courier New"/>
          <w:sz w:val="15"/>
          <w:szCs w:val="15"/>
          <w:color w:val="auto"/>
        </w:rPr>
      </w:pPr>
    </w:p>
    <w:p>
      <w:pPr>
        <w:ind w:left="6" w:right="3079" w:firstLine="727"/>
        <w:spacing w:after="0" w:line="249" w:lineRule="auto"/>
        <w:tabs>
          <w:tab w:leader="none" w:pos="110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REVERSION OF SHARES TO THE SHARE RESERVE. If any Option shall for any reason expire or otherwise terminate, in whole or in part, without having been exercised in full, the shares of Common Stock not acquired under such Option shall revert to and again become available for issuance under the Plan.</w:t>
      </w:r>
    </w:p>
    <w:p>
      <w:pPr>
        <w:spacing w:after="0" w:line="175" w:lineRule="exact"/>
        <w:rPr>
          <w:rFonts w:ascii="Courier New" w:cs="Courier New" w:eastAsia="Courier New" w:hAnsi="Courier New"/>
          <w:sz w:val="15"/>
          <w:szCs w:val="15"/>
          <w:color w:val="auto"/>
        </w:rPr>
      </w:pPr>
    </w:p>
    <w:p>
      <w:pPr>
        <w:ind w:left="6" w:right="2899" w:firstLine="727"/>
        <w:spacing w:after="0" w:line="250" w:lineRule="auto"/>
        <w:tabs>
          <w:tab w:leader="none" w:pos="1105"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SHARES. The shares of Common Stock subject to the Plan may be unissued shares or reacquired shares, bought on the market or otherwise.</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294" w:right="1440" w:bottom="1440" w:gutter="0" w:footer="0" w:header="0"/>
        </w:sectPr>
      </w:pPr>
    </w:p>
    <w:bookmarkStart w:id="114" w:name="page115"/>
    <w:bookmarkEnd w:id="114"/>
    <w:p>
      <w:pPr>
        <w:ind w:left="266"/>
        <w:spacing w:after="0"/>
        <w:rPr>
          <w:sz w:val="20"/>
          <w:szCs w:val="20"/>
          <w:color w:val="auto"/>
        </w:rPr>
      </w:pPr>
      <w:r>
        <w:rPr>
          <w:rFonts w:ascii="Courier New" w:cs="Courier New" w:eastAsia="Courier New" w:hAnsi="Courier New"/>
          <w:sz w:val="15"/>
          <w:szCs w:val="15"/>
          <w:color w:val="auto"/>
        </w:rPr>
        <w:t>5</w:t>
      </w:r>
    </w:p>
    <w:p>
      <w:pPr>
        <w:spacing w:after="0" w:line="182" w:lineRule="exact"/>
        <w:rPr>
          <w:sz w:val="20"/>
          <w:szCs w:val="20"/>
          <w:color w:val="auto"/>
        </w:rPr>
      </w:pPr>
    </w:p>
    <w:p>
      <w:pPr>
        <w:ind w:left="726" w:hanging="726"/>
        <w:spacing w:after="0"/>
        <w:tabs>
          <w:tab w:leader="none" w:pos="726"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82" w:lineRule="exact"/>
        <w:rPr>
          <w:sz w:val="20"/>
          <w:szCs w:val="20"/>
          <w:color w:val="auto"/>
        </w:rPr>
      </w:pPr>
    </w:p>
    <w:p>
      <w:pPr>
        <w:ind w:left="6" w:right="3259" w:firstLine="733"/>
        <w:spacing w:after="0" w:line="250" w:lineRule="auto"/>
        <w:rPr>
          <w:sz w:val="20"/>
          <w:szCs w:val="20"/>
          <w:color w:val="auto"/>
        </w:rPr>
      </w:pPr>
      <w:r>
        <w:rPr>
          <w:rFonts w:ascii="Courier New" w:cs="Courier New" w:eastAsia="Courier New" w:hAnsi="Courier New"/>
          <w:sz w:val="15"/>
          <w:szCs w:val="15"/>
          <w:color w:val="auto"/>
        </w:rPr>
        <w:t>The Options as set forth in section 6 automatically shall be granted under the Plan to all Non-Employee Directors.</w:t>
      </w:r>
    </w:p>
    <w:p>
      <w:pPr>
        <w:spacing w:after="0" w:line="175" w:lineRule="exact"/>
        <w:rPr>
          <w:sz w:val="20"/>
          <w:szCs w:val="20"/>
          <w:color w:val="auto"/>
        </w:rPr>
      </w:pPr>
    </w:p>
    <w:p>
      <w:pPr>
        <w:ind w:left="726" w:hanging="726"/>
        <w:spacing w:after="0"/>
        <w:tabs>
          <w:tab w:leader="none" w:pos="72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NON-DISCRETIONARY GRANTS.</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Without any further action of the Board, each person who is elected or appointed for the first time to be a Non-Employee Director automatically shall, upon the date of his or her initial election or appointment to be a Non-Employee Director, be granted an Initial Grant to purchase Twenty Thousand (20,000) shares of Common Stock on the terms and conditions set forth herein.</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Without any further action of the Board, on the day following each Annual Meeting, commencing with the Annual Meeting in 2001, each person who is then a Non-Employee Director, and has been a Non-Employee Director for at least six (6) months, automatically shall be granted an Annual Grant to purchase Five Thousand (5,000) shares of Common Stock on the terms and conditions set forth herein.</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PROVISIONS.</w:t>
      </w:r>
    </w:p>
    <w:p>
      <w:pPr>
        <w:spacing w:after="0" w:line="182" w:lineRule="exact"/>
        <w:rPr>
          <w:sz w:val="20"/>
          <w:szCs w:val="20"/>
          <w:color w:val="auto"/>
        </w:rPr>
      </w:pPr>
    </w:p>
    <w:p>
      <w:pPr>
        <w:ind w:left="6" w:right="3179" w:firstLine="733"/>
        <w:spacing w:after="0" w:line="249" w:lineRule="auto"/>
        <w:rPr>
          <w:sz w:val="20"/>
          <w:szCs w:val="20"/>
          <w:color w:val="auto"/>
        </w:rPr>
      </w:pPr>
      <w:r>
        <w:rPr>
          <w:rFonts w:ascii="Courier New" w:cs="Courier New" w:eastAsia="Courier New" w:hAnsi="Courier New"/>
          <w:sz w:val="15"/>
          <w:szCs w:val="15"/>
          <w:color w:val="auto"/>
        </w:rPr>
        <w:t>Each Option shall be in such form and shall contain such terms and conditions as required by the Plan. Each Option shall contain such additional terms and conditions, not inconsistent with the Plan, as the Board shall deem appropriate. Each Option shall include (through incorporation of provisions hereof by reference in the Option or otherwise) the substance of each of the following provisions:</w:t>
      </w:r>
    </w:p>
    <w:p>
      <w:pPr>
        <w:spacing w:after="0" w:line="176" w:lineRule="exact"/>
        <w:rPr>
          <w:sz w:val="20"/>
          <w:szCs w:val="20"/>
          <w:color w:val="auto"/>
        </w:rPr>
      </w:pPr>
    </w:p>
    <w:p>
      <w:pPr>
        <w:ind w:left="1106" w:hanging="373"/>
        <w:spacing w:after="0"/>
        <w:tabs>
          <w:tab w:leader="none" w:pos="1106"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No Option shall be exercisable after the expiration of ten</w:t>
      </w:r>
    </w:p>
    <w:p>
      <w:pPr>
        <w:spacing w:after="0" w:line="6"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it was granted.</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each Option shall be one hundred percent (100%) of the Fair Market Value of the stock subject to the Option on the date the Option is granted. Notwithstanding the foregoing, an Option may be granted with an exercise price lower than that set forth in the preceding sentence if such Option is granted pursuant to an assumption or substitution for another option in a manner satisfying the provisions of Section 424(a) of the Code.</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CONSIDERATION. The purchase price of stock acquired pursuant to an Option may be paid, to the extent permitted by applicable statutes and regulations, in any combination of (i) cash or check, (ii) delivery to the Company of other Common Stock or (iii)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The purchase price of Common Stock acquired pursuant to an Option that is paid by delivery to the Company of other Common Stock acquired, directly or indirectly from the Company, shall be paid only by shares of the Common Stock of the Company that have been</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294" w:right="1440" w:bottom="1440" w:gutter="0" w:footer="0" w:header="0"/>
        </w:sectPr>
      </w:pPr>
    </w:p>
    <w:bookmarkStart w:id="115" w:name="page116"/>
    <w:bookmarkEnd w:id="115"/>
    <w:p>
      <w:pPr>
        <w:ind w:left="266"/>
        <w:spacing w:after="0"/>
        <w:rPr>
          <w:sz w:val="20"/>
          <w:szCs w:val="20"/>
          <w:color w:val="auto"/>
        </w:rPr>
      </w:pPr>
      <w:r>
        <w:rPr>
          <w:rFonts w:ascii="Courier New" w:cs="Courier New" w:eastAsia="Courier New" w:hAnsi="Courier New"/>
          <w:sz w:val="15"/>
          <w:szCs w:val="15"/>
          <w:color w:val="auto"/>
        </w:rPr>
        <w:t>6</w:t>
      </w:r>
    </w:p>
    <w:p>
      <w:pPr>
        <w:spacing w:after="0" w:line="182" w:lineRule="exact"/>
        <w:rPr>
          <w:sz w:val="20"/>
          <w:szCs w:val="20"/>
          <w:color w:val="auto"/>
        </w:rPr>
      </w:pPr>
    </w:p>
    <w:p>
      <w:pPr>
        <w:ind w:left="6" w:right="3359"/>
        <w:spacing w:after="0" w:line="250" w:lineRule="auto"/>
        <w:rPr>
          <w:sz w:val="20"/>
          <w:szCs w:val="20"/>
          <w:color w:val="auto"/>
        </w:rPr>
      </w:pPr>
      <w:r>
        <w:rPr>
          <w:rFonts w:ascii="Courier New" w:cs="Courier New" w:eastAsia="Courier New" w:hAnsi="Courier New"/>
          <w:sz w:val="15"/>
          <w:szCs w:val="15"/>
          <w:color w:val="auto"/>
        </w:rPr>
        <w:t>held for more than six (6) months (or such longer or shorter period of time required to avoid a charge to earnings for financial accounting purposes).</w:t>
      </w:r>
    </w:p>
    <w:p>
      <w:pPr>
        <w:spacing w:after="0" w:line="175" w:lineRule="exact"/>
        <w:rPr>
          <w:sz w:val="20"/>
          <w:szCs w:val="20"/>
          <w:color w:val="auto"/>
        </w:rPr>
      </w:pPr>
    </w:p>
    <w:p>
      <w:pPr>
        <w:ind w:left="6" w:right="2899" w:firstLine="727"/>
        <w:spacing w:after="0" w:line="249" w:lineRule="auto"/>
        <w:tabs>
          <w:tab w:leader="none" w:pos="110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An Option is transferable by will or by the laws of descent and distribution. An Option also is transferable if, at the time of transfer, a Form S-8 registration statement under the Securities Act is available for the exercise of the Option and the subsequent resale of the underlying securities.1 In addition, Optionholder may, by delivering written notice to the Company, in a form satisfactory to the Company, designate a third party who, in the event of the death of the Optionholder, shall thereafter be entitled to exercise the Option.</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Options shall vest as follows:</w:t>
      </w:r>
    </w:p>
    <w:p>
      <w:pPr>
        <w:spacing w:after="0" w:line="182" w:lineRule="exact"/>
        <w:rPr>
          <w:rFonts w:ascii="Courier New" w:cs="Courier New" w:eastAsia="Courier New" w:hAnsi="Courier New"/>
          <w:sz w:val="15"/>
          <w:szCs w:val="15"/>
          <w:color w:val="auto"/>
        </w:rPr>
      </w:pPr>
    </w:p>
    <w:p>
      <w:pPr>
        <w:ind w:left="6" w:right="3179" w:firstLine="1368"/>
        <w:spacing w:after="0" w:line="249" w:lineRule="auto"/>
        <w:tabs>
          <w:tab w:leader="none" w:pos="1747"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Grants shall provide for vesting of 1/36th of the shares subject to the Option each month for three (3) years after the date of the grant.</w:t>
      </w:r>
    </w:p>
    <w:p>
      <w:pPr>
        <w:spacing w:after="0" w:line="175" w:lineRule="exact"/>
        <w:rPr>
          <w:rFonts w:ascii="Courier New" w:cs="Courier New" w:eastAsia="Courier New" w:hAnsi="Courier New"/>
          <w:sz w:val="15"/>
          <w:szCs w:val="15"/>
          <w:color w:val="auto"/>
        </w:rPr>
      </w:pPr>
    </w:p>
    <w:p>
      <w:pPr>
        <w:ind w:left="6" w:right="3079" w:firstLine="1368"/>
        <w:spacing w:after="0" w:line="249" w:lineRule="auto"/>
        <w:tabs>
          <w:tab w:leader="none" w:pos="1838" w:val="left"/>
        </w:tabs>
        <w:numPr>
          <w:ilvl w:val="2"/>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shall provide for vesting of 1/12th of the shares subject to the Option each month for one (1) year after the date of the grant.</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Options shall be exercisable in full immediately upon</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182" w:lineRule="exact"/>
        <w:rPr>
          <w:rFonts w:ascii="Courier New" w:cs="Courier New" w:eastAsia="Courier New" w:hAnsi="Courier New"/>
          <w:sz w:val="15"/>
          <w:szCs w:val="15"/>
          <w:color w:val="auto"/>
        </w:rPr>
      </w:pPr>
    </w:p>
    <w:p>
      <w:pPr>
        <w:ind w:left="6" w:right="2899" w:firstLine="727"/>
        <w:spacing w:after="0" w:line="248" w:lineRule="auto"/>
        <w:tabs>
          <w:tab w:leader="none" w:pos="1105"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CONTINUOUS SERVICE. In the event an Optionholder's Continuous Service terminates (other than upon the Optionholder's death or Disability), the Optionholder may exercise his or her Option (to the extent that the Optionholder was entitled to exercise it as of the date of termination) but only within such period of time ending on the earlier of (i) the date three (3) months following the termination of the Optionholder's Continuous Service, or</w:t>
      </w:r>
    </w:p>
    <w:p>
      <w:pPr>
        <w:spacing w:after="0" w:line="3" w:lineRule="exact"/>
        <w:rPr>
          <w:rFonts w:ascii="Courier New" w:cs="Courier New" w:eastAsia="Courier New" w:hAnsi="Courier New"/>
          <w:sz w:val="15"/>
          <w:szCs w:val="15"/>
          <w:color w:val="auto"/>
        </w:rPr>
      </w:pPr>
    </w:p>
    <w:p>
      <w:pPr>
        <w:ind w:left="6" w:right="2979" w:hanging="6"/>
        <w:spacing w:after="0" w:line="249" w:lineRule="auto"/>
        <w:tabs>
          <w:tab w:leader="none" w:pos="46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the term of the Option as set forth in the Option Agreement. If, after termination, the Optionholder does not exercise his or her Option within the time specified in the Option Agreement, the Option shall terminate.</w:t>
      </w:r>
    </w:p>
    <w:p>
      <w:pPr>
        <w:spacing w:after="0" w:line="175"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TERMINATION DATE. If the exercise of the Option following the termination of the Optionholder's Continuous Service (other than upon the Optionholder's death or Disability) would be prohibited at any time solely because the issuance of shares would violate the registration requirements under the Securities Act, then the Option shall terminate on the earlier of (i) the expiration of the term of the Option set forth in subsection 7(a) or (ii) the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6" w:right="2899" w:hanging="6"/>
        <w:spacing w:after="0" w:line="248" w:lineRule="auto"/>
        <w:tabs>
          <w:tab w:leader="none" w:pos="37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General Instructions to the Form S-8 Registration Statement, Rule A.1.(5). Currently a Form S-8 is available for the exercise of the Option and the subsequent resale of the underlying securities by the Optionholder's family member who has acquired the Option from the Optionholder through a gift or a domestic relations order. For purposes of Form S-8, "family member" currently includes any child, stepchild, grandchild, parent, stepparent, grandparent, spouse, former spouse, sibling, niece, nephew, mother-in-law, father-in-law, son-in-law, daughter-in-law, brother-in-law, or sister-in-law, including adoptive relationships, any person sharing the Optionholder's household (other than a tenant or employee), a trust in which these persons have more than fifty percent (50%) of the beneficial interest, a foundation in which these persons (or the Optionholder) control the management of assets, and any other entity in which these persons (or the Optionholder) own more than fifty percent (50%) of the voting interests. Form S-8 currently is not available for the exercise of an Option transferred for value. The following transactions currently are not prohibited transfers for value: (i) a transfer under a domestic relations order in settlement of marital property rights; and (ii) a transfer to an entity in which more than fifty percent (50%) of the voting interests are owned by family members (or the Optionholder) in exchange for an interest in that entity.</w:t>
      </w:r>
    </w:p>
    <w:p>
      <w:pPr>
        <w:spacing w:after="0" w:line="36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294" w:right="1440" w:bottom="1440" w:gutter="0" w:footer="0" w:header="0"/>
        </w:sectPr>
      </w:pPr>
    </w:p>
    <w:bookmarkStart w:id="116" w:name="page117"/>
    <w:bookmarkEnd w:id="116"/>
    <w:p>
      <w:pPr>
        <w:ind w:left="266"/>
        <w:spacing w:after="0"/>
        <w:rPr>
          <w:sz w:val="20"/>
          <w:szCs w:val="20"/>
          <w:color w:val="auto"/>
        </w:rPr>
      </w:pPr>
      <w:r>
        <w:rPr>
          <w:rFonts w:ascii="Courier New" w:cs="Courier New" w:eastAsia="Courier New" w:hAnsi="Courier New"/>
          <w:sz w:val="15"/>
          <w:szCs w:val="15"/>
          <w:color w:val="auto"/>
        </w:rPr>
        <w:t>7</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expiration of a period of three (3) months after the termination of the Optionholder's Continuous Service during which the exercise of the Option would not be in violation of such registration requirements.</w:t>
      </w:r>
    </w:p>
    <w:p>
      <w:pPr>
        <w:spacing w:after="0" w:line="176" w:lineRule="exact"/>
        <w:rPr>
          <w:sz w:val="20"/>
          <w:szCs w:val="20"/>
          <w:color w:val="auto"/>
        </w:rPr>
      </w:pPr>
    </w:p>
    <w:p>
      <w:pPr>
        <w:ind w:left="6" w:right="2899" w:firstLine="727"/>
        <w:spacing w:after="0" w:line="249" w:lineRule="auto"/>
        <w:tabs>
          <w:tab w:leader="none" w:pos="110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OF OPTIONHOLDER. In the event an Optionholder's Continuous Service terminates as a result of the Optionholder's Disability, the Optionholder may exercise his or her Option (to the extent that the Optionholder was entitled to exercise it as of the date of termination), but only within such period of time ending on the earlier of (i) the date twelve (12) months following such termination or (ii) the expiration of the term of the Option as set forth in the Option Agreement. If, after termination, the Optionholder does not exercise his or her Option within the time specified herein, the Option shall terminate.</w:t>
      </w:r>
    </w:p>
    <w:p>
      <w:pPr>
        <w:spacing w:after="0" w:line="351"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OF OPTIONHOLDER. In the event (i) an Optionholder's Continuous Service terminates as a result of the Optionholder's death or (ii) the Optionholder dies within the three-month period after the termination of the Optionholder's Continuous Service for a reason other than death, then the Option may be exercised (to the extent the Optionholder was entitled to exercise the Option as of the date of death) by the Optionholder's estate, by a person who acquired the right to exercise the Option by bequest or inheritance or by a person designated to exercise the Option upon the Optionholder's death, but only within the period ending on the earlier of (1) the date eighteen (18) months following the date of death or (2) the expiration of the term of such Option as set forth in the Option Agreement. If, after death, the Option is not exercised within the time specified herein, the Option shall terminate.</w:t>
      </w:r>
    </w:p>
    <w:p>
      <w:pPr>
        <w:spacing w:after="0" w:line="174"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THE COMPANY.</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SHARES. During the terms of the Options, the Company shall keep available at all times the number of shares of Common Stock required to satisfy such Options.</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COMPLIANCE. The Company shall seek to obtain from each regulatory commission or agency having jurisdiction over the Plan such authority as may be required to grant Options and to issue and sell shares of Common Stock upon exercise of the Options; provided, however, that this undertaking shall not require the Company to register under the Securities Act the Plan, any Option or any stock issued or issuable pursuant to any such Option. If, after reasonable efforts, the Company is unable to obtain from any such regulatory commission or agency the authority which counsel for the Company deems necessary for the lawful issuance and sale of stock under the Plan, the Company shall be relieved from any liability for failure to issue and sell stock upon exercise of such Options unless and until such authority is obtained.</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FROM STOCK.</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Proceeds from the sale of stock pursuant to Options shall constitute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general funds of the Company.</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5"/>
          </w:cols>
          <w:pgMar w:left="234" w:top="294" w:right="1440" w:bottom="1440" w:gutter="0" w:footer="0" w:header="0"/>
        </w:sectPr>
      </w:pPr>
    </w:p>
    <w:bookmarkStart w:id="117" w:name="page118"/>
    <w:bookmarkEnd w:id="117"/>
    <w:p>
      <w:pPr>
        <w:ind w:left="266"/>
        <w:spacing w:after="0"/>
        <w:rPr>
          <w:sz w:val="20"/>
          <w:szCs w:val="20"/>
          <w:color w:val="auto"/>
        </w:rPr>
      </w:pPr>
      <w:r>
        <w:rPr>
          <w:rFonts w:ascii="Courier New" w:cs="Courier New" w:eastAsia="Courier New" w:hAnsi="Courier New"/>
          <w:sz w:val="15"/>
          <w:szCs w:val="15"/>
          <w:color w:val="auto"/>
        </w:rPr>
        <w:t>8</w:t>
      </w:r>
    </w:p>
    <w:p>
      <w:pPr>
        <w:spacing w:after="0" w:line="182" w:lineRule="exact"/>
        <w:rPr>
          <w:sz w:val="20"/>
          <w:szCs w:val="20"/>
          <w:color w:val="auto"/>
        </w:rPr>
      </w:pPr>
    </w:p>
    <w:p>
      <w:pPr>
        <w:ind w:left="726" w:hanging="726"/>
        <w:spacing w:after="0"/>
        <w:tabs>
          <w:tab w:leader="none" w:pos="726"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82" w:lineRule="exact"/>
        <w:rPr>
          <w:rFonts w:ascii="Courier New" w:cs="Courier New" w:eastAsia="Courier New" w:hAnsi="Courier New"/>
          <w:sz w:val="15"/>
          <w:szCs w:val="15"/>
          <w:color w:val="auto"/>
        </w:rPr>
      </w:pPr>
    </w:p>
    <w:p>
      <w:pPr>
        <w:jc w:val="both"/>
        <w:ind w:left="6" w:right="2899" w:firstLine="727"/>
        <w:spacing w:after="0" w:line="249" w:lineRule="auto"/>
        <w:tabs>
          <w:tab w:leader="none" w:pos="110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RIGHTS. No Optionholder shall be deemed to be the holder of, or to have any of the rights of a holder with respect to, any shares subject to such Option unless and until such Optionholder has satisfied all requirements for exercise of the Option pursuant to its terms.</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SERVICE RIGHTS. Nothing in the Plan or any instrument executed or Option granted pursuant thereto shall confer upon any Optionholder any right to continue to serve the Company as a Non-Employee Director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5" w:lineRule="exact"/>
        <w:rPr>
          <w:rFonts w:ascii="Courier New" w:cs="Courier New" w:eastAsia="Courier New" w:hAnsi="Courier New"/>
          <w:sz w:val="15"/>
          <w:szCs w:val="15"/>
          <w:color w:val="auto"/>
        </w:rPr>
      </w:pPr>
    </w:p>
    <w:p>
      <w:pPr>
        <w:ind w:left="6" w:right="2899" w:firstLine="727"/>
        <w:spacing w:after="0" w:line="248" w:lineRule="auto"/>
        <w:tabs>
          <w:tab w:leader="none" w:pos="110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ASSURANCES. The Company may require an Optionholder, as a condition of exercising or acquiring stock under any Option, (i) to give written assurances satisfactory to the Company as to the Optionholder's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Option; and (ii) to give written assurances satisfactory to the Company stating that the Optionholder is acquiring the stock subject to the Option for the Optionholder's own account and not with any present intention of selling or otherwise distributing the stock. The foregoing requirements, and any assurances given pursuant to such requirements, shall be inoperative if (iii) the issuance of the shares upon the exercise or acquisition of stock under the Option has been registered under a then currently effective registration statement under the Securities Act or (iv)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stock.</w:t>
      </w:r>
    </w:p>
    <w:p>
      <w:pPr>
        <w:spacing w:after="0" w:line="188"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OBLIGATIONS. The Optionholder may satisfy any federal, state or local tax withholding obligation relating to the exercise or acquisition of stock under an Option by any of the following means (in addition to the Company's right to withhold from any compensation paid to the Optionholder by the Company) or by a combination of such means: (i) tendering a cash payment; (ii) authorizing the Company to withhold shares from the shares of the Common Stock otherwise issuable to the Optionholder as a result of the exercise or acquisition of stock under the Option, provided, however, that no shares of Common Stock are withheld with a value exceeding the minimum amount of tax required to be withheld by law; or (iii) delivering to the Company owned and unencumbered shares of the Common Stock.</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294" w:right="1440" w:bottom="1440" w:gutter="0" w:footer="0" w:header="0"/>
        </w:sectPr>
      </w:pPr>
    </w:p>
    <w:bookmarkStart w:id="118" w:name="page119"/>
    <w:bookmarkEnd w:id="118"/>
    <w:p>
      <w:pPr>
        <w:ind w:left="266"/>
        <w:spacing w:after="0"/>
        <w:rPr>
          <w:sz w:val="20"/>
          <w:szCs w:val="20"/>
          <w:color w:val="auto"/>
        </w:rPr>
      </w:pPr>
      <w:r>
        <w:rPr>
          <w:rFonts w:ascii="Courier New" w:cs="Courier New" w:eastAsia="Courier New" w:hAnsi="Courier New"/>
          <w:sz w:val="15"/>
          <w:szCs w:val="15"/>
          <w:color w:val="auto"/>
        </w:rPr>
        <w:t>9</w:t>
      </w:r>
    </w:p>
    <w:p>
      <w:pPr>
        <w:spacing w:after="0" w:line="182" w:lineRule="exact"/>
        <w:rPr>
          <w:sz w:val="20"/>
          <w:szCs w:val="20"/>
          <w:color w:val="auto"/>
        </w:rPr>
      </w:pPr>
    </w:p>
    <w:p>
      <w:pPr>
        <w:ind w:left="726" w:hanging="726"/>
        <w:spacing w:after="0"/>
        <w:tabs>
          <w:tab w:leader="none" w:pos="726"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UPON CHANGES IN STOCK.</w:t>
      </w:r>
    </w:p>
    <w:p>
      <w:pPr>
        <w:spacing w:after="0" w:line="182" w:lineRule="exact"/>
        <w:rPr>
          <w:rFonts w:ascii="Courier New" w:cs="Courier New" w:eastAsia="Courier New" w:hAnsi="Courier New"/>
          <w:sz w:val="15"/>
          <w:szCs w:val="15"/>
          <w:color w:val="auto"/>
        </w:rPr>
      </w:pPr>
    </w:p>
    <w:p>
      <w:pPr>
        <w:ind w:left="6" w:right="2899" w:firstLine="727"/>
        <w:spacing w:after="0" w:line="248" w:lineRule="auto"/>
        <w:tabs>
          <w:tab w:leader="none" w:pos="11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ADJUSTMENTS. If any change is made in the stock subject to the Plan, or subject to any Option,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will be appropriately adjusted in the class(es) and maximum number of securities subject both to the Plan pursuant to subsection 4(a) and to the nondiscretionary Options specified in Section 5, and the outstanding Options will be appropriately adjusted in the class(es) and number of securities and price per share of stock subject to such outstanding Options. The Board shall make such adjustments, and its determination shall be final, binding and conclusive. (The conversion of any convertible securities of the Company shall not be treated as a transaction "without receipt of consideration" by the Company.)</w:t>
      </w:r>
    </w:p>
    <w:p>
      <w:pPr>
        <w:spacing w:after="0" w:line="185" w:lineRule="exact"/>
        <w:rPr>
          <w:rFonts w:ascii="Courier New" w:cs="Courier New" w:eastAsia="Courier New" w:hAnsi="Courier New"/>
          <w:sz w:val="15"/>
          <w:szCs w:val="15"/>
          <w:color w:val="auto"/>
        </w:rPr>
      </w:pPr>
    </w:p>
    <w:p>
      <w:pPr>
        <w:jc w:val="both"/>
        <w:ind w:left="6" w:right="3619" w:firstLine="727"/>
        <w:spacing w:after="0" w:line="249" w:lineRule="auto"/>
        <w:tabs>
          <w:tab w:leader="none" w:pos="1105"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a dissolution or liquidation of the Company, then all outstanding Options shall terminate immediately prior to such event.</w:t>
      </w:r>
    </w:p>
    <w:p>
      <w:pPr>
        <w:spacing w:after="0" w:line="175" w:lineRule="exact"/>
        <w:rPr>
          <w:rFonts w:ascii="Courier New" w:cs="Courier New" w:eastAsia="Courier New" w:hAnsi="Courier New"/>
          <w:sz w:val="15"/>
          <w:szCs w:val="15"/>
          <w:color w:val="auto"/>
        </w:rPr>
      </w:pPr>
    </w:p>
    <w:p>
      <w:pPr>
        <w:ind w:left="1106" w:hanging="373"/>
        <w:spacing w:after="0"/>
        <w:tabs>
          <w:tab w:leader="none" w:pos="1106"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 MERGER, CONSOLIDATION OR REVERSE MERGER.</w:t>
      </w:r>
    </w:p>
    <w:p>
      <w:pPr>
        <w:spacing w:after="0" w:line="182" w:lineRule="exact"/>
        <w:rPr>
          <w:rFonts w:ascii="Courier New" w:cs="Courier New" w:eastAsia="Courier New" w:hAnsi="Courier New"/>
          <w:sz w:val="15"/>
          <w:szCs w:val="15"/>
          <w:color w:val="auto"/>
        </w:rPr>
      </w:pPr>
    </w:p>
    <w:p>
      <w:pPr>
        <w:ind w:left="6" w:right="2899" w:firstLine="1368"/>
        <w:spacing w:after="0" w:line="249" w:lineRule="auto"/>
        <w:tabs>
          <w:tab w:leader="none" w:pos="1747"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(i) a sale, lease or other disposition of all or substantially all of the assets of the Company, (ii) a merger or consolidation in which the Company is not the surviving corporation or (iii) a reverse merger in which the Company is the surviving corporation but the shares of Common Stock outstanding immediately preceding the merger are converted by virtue of the merger into other property, whether in the form of securities, cash or otherwise (collectively, a "change in control"), then any surviving corporation or acquiring corporation shall assume any Options outstanding under the Plan or shall substitute similar Options (including an option to acquire the same consideration paid to the stockholders in the change in control transaction for those outstanding under the Plan).</w:t>
      </w:r>
    </w:p>
    <w:p>
      <w:pPr>
        <w:spacing w:after="0" w:line="175" w:lineRule="exact"/>
        <w:rPr>
          <w:rFonts w:ascii="Courier New" w:cs="Courier New" w:eastAsia="Courier New" w:hAnsi="Courier New"/>
          <w:sz w:val="15"/>
          <w:szCs w:val="15"/>
          <w:color w:val="auto"/>
        </w:rPr>
      </w:pPr>
    </w:p>
    <w:p>
      <w:pPr>
        <w:ind w:left="6" w:right="2899" w:firstLine="1368"/>
        <w:spacing w:after="0" w:line="249" w:lineRule="auto"/>
        <w:tabs>
          <w:tab w:leader="none" w:pos="1838"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refuses to assume such Options or to substitute similar Options for those outstanding under the Plan, then the vesting of such Options and the vesting of any shares of Common Stock acquired pursuant to such Options shall be accelerated in full, and the Options shall terminate if not exercised at or prior to the change in control.</w:t>
      </w:r>
    </w:p>
    <w:p>
      <w:pPr>
        <w:spacing w:after="0" w:line="175" w:lineRule="exact"/>
        <w:rPr>
          <w:rFonts w:ascii="Courier New" w:cs="Courier New" w:eastAsia="Courier New" w:hAnsi="Courier New"/>
          <w:sz w:val="15"/>
          <w:szCs w:val="15"/>
          <w:color w:val="auto"/>
        </w:rPr>
      </w:pPr>
    </w:p>
    <w:p>
      <w:pPr>
        <w:ind w:left="6" w:right="2979" w:firstLine="1368"/>
        <w:spacing w:after="0" w:line="249" w:lineRule="auto"/>
        <w:tabs>
          <w:tab w:leader="none" w:pos="193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assumes such Options or substitutes similar Options for those outstanding under the Plan but the Optionholder is not elected or appointed to the board of directors of the surviving corporation or acquiring corporation at the first meeting of such board of directors after the change in control, then the vesting of such Options and the vesting of any shares of Common Stock acquired pursuant to such Options shall be accelerated by eighteen (18) months on the day after the first meeting of the board of directors of the surviving corporation or acquiring corporation.</w:t>
      </w:r>
    </w:p>
    <w:p>
      <w:pPr>
        <w:spacing w:after="0" w:line="351"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294" w:right="1440" w:bottom="1440" w:gutter="0" w:footer="0" w:header="0"/>
        </w:sectPr>
      </w:pPr>
    </w:p>
    <w:bookmarkStart w:id="119" w:name="page120"/>
    <w:bookmarkEnd w:id="119"/>
    <w:p>
      <w:pPr>
        <w:ind w:left="266"/>
        <w:spacing w:after="0"/>
        <w:rPr>
          <w:sz w:val="20"/>
          <w:szCs w:val="20"/>
          <w:color w:val="auto"/>
        </w:rPr>
      </w:pPr>
      <w:r>
        <w:rPr>
          <w:rFonts w:ascii="Courier New" w:cs="Courier New" w:eastAsia="Courier New" w:hAnsi="Courier New"/>
          <w:sz w:val="15"/>
          <w:szCs w:val="15"/>
          <w:color w:val="auto"/>
        </w:rPr>
        <w:t>10</w:t>
      </w:r>
    </w:p>
    <w:p>
      <w:pPr>
        <w:spacing w:after="0" w:line="182" w:lineRule="exact"/>
        <w:rPr>
          <w:sz w:val="20"/>
          <w:szCs w:val="20"/>
          <w:color w:val="auto"/>
        </w:rPr>
      </w:pPr>
    </w:p>
    <w:p>
      <w:pPr>
        <w:ind w:left="6" w:right="2979" w:firstLine="1368"/>
        <w:spacing w:after="0" w:line="249" w:lineRule="auto"/>
        <w:tabs>
          <w:tab w:leader="none" w:pos="1838"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surviving corporation or acquiring corporation assumes such Options or substitutes similar Options for those outstanding under the Plan and the Optionholder is elected or appointed to the board of directors of the surviving corporation or acquiring corporation at the first meeting of such board of directors after the change in control, then the vesting of such Options and the vesting of any shares of Common Stock acquired pursuant to such Options shall not be accelerated.</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AND OPTIONS.</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PLAN. The Board at any time, and from time to time, may amend the Plan. However, except as provided in Section 11 relating to adjustments upon changes in stock, no amendment shall be effective unless approved by the stockholders of the Company to the extent stockholder approval is necessary to satisfy the requirements of Rule 16b-3 or any Nasdaq or securities exchange listing requirements.</w:t>
      </w:r>
    </w:p>
    <w:p>
      <w:pPr>
        <w:spacing w:after="0" w:line="175" w:lineRule="exact"/>
        <w:rPr>
          <w:rFonts w:ascii="Courier New" w:cs="Courier New" w:eastAsia="Courier New" w:hAnsi="Courier New"/>
          <w:sz w:val="15"/>
          <w:szCs w:val="15"/>
          <w:color w:val="auto"/>
        </w:rPr>
      </w:pPr>
    </w:p>
    <w:p>
      <w:pPr>
        <w:ind w:left="6" w:right="2979" w:firstLine="727"/>
        <w:spacing w:after="0" w:line="250"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The Board may, in its sole discretion, submit any other amendment to the Plan for stockholder approval.</w:t>
      </w:r>
    </w:p>
    <w:p>
      <w:pPr>
        <w:spacing w:after="0" w:line="174" w:lineRule="exact"/>
        <w:rPr>
          <w:rFonts w:ascii="Courier New" w:cs="Courier New" w:eastAsia="Courier New" w:hAnsi="Courier New"/>
          <w:sz w:val="15"/>
          <w:szCs w:val="15"/>
          <w:color w:val="auto"/>
        </w:rPr>
      </w:pPr>
    </w:p>
    <w:p>
      <w:pPr>
        <w:ind w:left="6" w:right="2979" w:firstLine="727"/>
        <w:spacing w:after="0" w:line="248"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RIGHTS. Rights under any Option granted before amendment of the Plan shall not be impaired by any amendment of the Plan unless</w:t>
      </w:r>
    </w:p>
    <w:p>
      <w:pPr>
        <w:spacing w:after="0" w:line="1" w:lineRule="exact"/>
        <w:rPr>
          <w:rFonts w:ascii="Courier New" w:cs="Courier New" w:eastAsia="Courier New" w:hAnsi="Courier New"/>
          <w:sz w:val="15"/>
          <w:szCs w:val="15"/>
          <w:color w:val="auto"/>
        </w:rPr>
      </w:pPr>
    </w:p>
    <w:p>
      <w:pPr>
        <w:ind w:left="6" w:right="3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the Company requests the consent of the Optionholder and (ii) the Optionholder consents in writing.</w:t>
      </w:r>
    </w:p>
    <w:p>
      <w:pPr>
        <w:spacing w:after="0" w:line="174" w:lineRule="exact"/>
        <w:rPr>
          <w:rFonts w:ascii="Courier New" w:cs="Courier New" w:eastAsia="Courier New" w:hAnsi="Courier New"/>
          <w:sz w:val="15"/>
          <w:szCs w:val="15"/>
          <w:color w:val="auto"/>
        </w:rPr>
      </w:pPr>
    </w:p>
    <w:p>
      <w:pPr>
        <w:ind w:left="6" w:right="2979" w:firstLine="727"/>
        <w:spacing w:after="0" w:line="249"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OPTIONS. The Board at any time, and from time to time, may amend the terms of any one or more Options; provided, however, that the rights under any Option shall not be impaired by any such amendment unless (i) the Company requests the consent of the Optionholder and (ii) the Optionholder consents in writing.</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w:t>
      </w:r>
    </w:p>
    <w:p>
      <w:pPr>
        <w:spacing w:after="0" w:line="182"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TERM. The Board may suspend or terminate the Plan at any time. No Options may be granted under the Plan while the Plan is suspended or after it is terminated.</w:t>
      </w:r>
    </w:p>
    <w:p>
      <w:pPr>
        <w:spacing w:after="0" w:line="175" w:lineRule="exact"/>
        <w:rPr>
          <w:rFonts w:ascii="Courier New" w:cs="Courier New" w:eastAsia="Courier New" w:hAnsi="Courier New"/>
          <w:sz w:val="15"/>
          <w:szCs w:val="15"/>
          <w:color w:val="auto"/>
        </w:rPr>
      </w:pPr>
    </w:p>
    <w:p>
      <w:pPr>
        <w:ind w:left="6" w:right="2899" w:firstLine="727"/>
        <w:spacing w:after="0" w:line="249" w:lineRule="auto"/>
        <w:tabs>
          <w:tab w:leader="none" w:pos="1105"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IMPAIRMENT OF RIGHTS. Suspension or termination of the Plan shall not impair rights and obligations under any Option granted while the Plan is in effect except with the written consent of the Optionholder.</w:t>
      </w:r>
    </w:p>
    <w:p>
      <w:pPr>
        <w:spacing w:after="0" w:line="175" w:lineRule="exact"/>
        <w:rPr>
          <w:rFonts w:ascii="Courier New" w:cs="Courier New" w:eastAsia="Courier New" w:hAnsi="Courier New"/>
          <w:sz w:val="15"/>
          <w:szCs w:val="15"/>
          <w:color w:val="auto"/>
        </w:rPr>
      </w:pPr>
    </w:p>
    <w:p>
      <w:pPr>
        <w:ind w:left="726" w:hanging="726"/>
        <w:spacing w:after="0"/>
        <w:tabs>
          <w:tab w:leader="none" w:pos="726"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82" w:lineRule="exact"/>
        <w:rPr>
          <w:rFonts w:ascii="Courier New" w:cs="Courier New" w:eastAsia="Courier New" w:hAnsi="Courier New"/>
          <w:sz w:val="15"/>
          <w:szCs w:val="15"/>
          <w:color w:val="auto"/>
        </w:rPr>
      </w:pPr>
    </w:p>
    <w:p>
      <w:pPr>
        <w:ind w:left="7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become effective on the IPO Date, but no Option shall be</w:t>
      </w:r>
    </w:p>
    <w:p>
      <w:pPr>
        <w:spacing w:after="0" w:line="6" w:lineRule="exact"/>
        <w:rPr>
          <w:sz w:val="20"/>
          <w:szCs w:val="20"/>
          <w:color w:val="auto"/>
        </w:rPr>
      </w:pPr>
    </w:p>
    <w:p>
      <w:pPr>
        <w:ind w:left="6" w:right="2899"/>
        <w:spacing w:after="0" w:line="249" w:lineRule="auto"/>
        <w:rPr>
          <w:sz w:val="20"/>
          <w:szCs w:val="20"/>
          <w:color w:val="auto"/>
        </w:rPr>
      </w:pPr>
      <w:r>
        <w:rPr>
          <w:rFonts w:ascii="Courier New" w:cs="Courier New" w:eastAsia="Courier New" w:hAnsi="Courier New"/>
          <w:sz w:val="15"/>
          <w:szCs w:val="15"/>
          <w:color w:val="auto"/>
        </w:rPr>
        <w:t>exercised unless and until the Plan has been approved by the stockholders of the Company, which approval shall be within twelve (12) months before or after the date the Plan is adopted by the Board.</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5"/>
          </w:cols>
          <w:pgMar w:left="234" w:top="294" w:right="1440" w:bottom="1440" w:gutter="0" w:footer="0" w:header="0"/>
        </w:sectPr>
      </w:pPr>
    </w:p>
    <w:bookmarkStart w:id="120" w:name="page121"/>
    <w:bookmarkEnd w:id="120"/>
    <w:p>
      <w:pPr>
        <w:ind w:left="266"/>
        <w:spacing w:after="0"/>
        <w:rPr>
          <w:sz w:val="20"/>
          <w:szCs w:val="20"/>
          <w:color w:val="auto"/>
        </w:rPr>
      </w:pPr>
      <w:r>
        <w:rPr>
          <w:rFonts w:ascii="Courier New" w:cs="Courier New" w:eastAsia="Courier New" w:hAnsi="Courier New"/>
          <w:sz w:val="15"/>
          <w:szCs w:val="15"/>
          <w:color w:val="auto"/>
        </w:rPr>
        <w:t>11</w:t>
      </w:r>
    </w:p>
    <w:p>
      <w:pPr>
        <w:spacing w:after="0" w:line="182" w:lineRule="exact"/>
        <w:rPr>
          <w:sz w:val="20"/>
          <w:szCs w:val="20"/>
          <w:color w:val="auto"/>
        </w:rPr>
      </w:pPr>
    </w:p>
    <w:p>
      <w:pPr>
        <w:ind w:left="726" w:hanging="726"/>
        <w:spacing w:after="0"/>
        <w:tabs>
          <w:tab w:leader="none" w:pos="726"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w:t>
      </w:r>
    </w:p>
    <w:p>
      <w:pPr>
        <w:spacing w:after="0" w:line="182" w:lineRule="exact"/>
        <w:rPr>
          <w:sz w:val="20"/>
          <w:szCs w:val="20"/>
          <w:color w:val="auto"/>
        </w:rPr>
      </w:pPr>
    </w:p>
    <w:p>
      <w:pPr>
        <w:jc w:val="both"/>
        <w:ind w:left="6" w:right="3079"/>
        <w:spacing w:after="0" w:line="249" w:lineRule="auto"/>
        <w:rPr>
          <w:sz w:val="20"/>
          <w:szCs w:val="20"/>
          <w:color w:val="auto"/>
        </w:rPr>
      </w:pPr>
      <w:r>
        <w:rPr>
          <w:rFonts w:ascii="Courier New" w:cs="Courier New" w:eastAsia="Courier New" w:hAnsi="Courier New"/>
          <w:sz w:val="15"/>
          <w:szCs w:val="15"/>
          <w:color w:val="auto"/>
        </w:rPr>
        <w:t>All questions concerning the construction, validity and interpretation of this Plan shall be governed by the law of the State of Delaware, without regard to such state's conflict of laws rules.</w:t>
      </w:r>
    </w:p>
    <w:p>
      <w:pPr>
        <w:spacing w:after="0" w:line="35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5"/>
          </w:cols>
          <w:pgMar w:left="234" w:top="294"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12</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INTUITIVE SURGICAL, INC.</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2000 NON-EMPLOYEE DIRECTORS' STOCK OPTION PLAN</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STOCK OPTION AGREEMENT</w:t>
      </w:r>
    </w:p>
    <w:p>
      <w:pPr>
        <w:spacing w:after="0" w:line="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(NONSTATUTORY STOCK OPTION)</w:t>
      </w:r>
    </w:p>
    <w:p>
      <w:pPr>
        <w:spacing w:after="0" w:line="359" w:lineRule="exact"/>
        <w:rPr>
          <w:sz w:val="20"/>
          <w:szCs w:val="20"/>
          <w:color w:val="auto"/>
        </w:rPr>
      </w:pPr>
    </w:p>
    <w:p>
      <w:pPr>
        <w:ind w:right="2899" w:firstLine="550"/>
        <w:spacing w:after="0" w:line="249" w:lineRule="auto"/>
        <w:rPr>
          <w:sz w:val="20"/>
          <w:szCs w:val="20"/>
          <w:color w:val="auto"/>
        </w:rPr>
      </w:pPr>
      <w:r>
        <w:rPr>
          <w:rFonts w:ascii="Courier New" w:cs="Courier New" w:eastAsia="Courier New" w:hAnsi="Courier New"/>
          <w:sz w:val="15"/>
          <w:szCs w:val="15"/>
          <w:color w:val="auto"/>
        </w:rPr>
        <w:t>Pursuant to your Stock Option Grant Notice ("Grant Notice") and this Stock Option Agreement, Intuitive Surgical, Inc. (the "Company") has granted you an option under its 2000 Non-Employee Directors' Stock Option Plan (the "Plan") to purchase the number of shares of the Company's Common Stock indicated in your Grant Notice at the exercise price indicated in your Grant Notice. Defined terms not explicitly defined in this Stock Option Agreement but defined in the Plan shall have the same definitions as in the Plan.</w:t>
      </w:r>
    </w:p>
    <w:p>
      <w:pPr>
        <w:spacing w:after="0" w:line="17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The details of your option are as follows:</w:t>
      </w:r>
    </w:p>
    <w:p>
      <w:pPr>
        <w:spacing w:after="0" w:line="182" w:lineRule="exact"/>
        <w:rPr>
          <w:sz w:val="20"/>
          <w:szCs w:val="20"/>
          <w:color w:val="auto"/>
        </w:rPr>
      </w:pPr>
    </w:p>
    <w:p>
      <w:pPr>
        <w:ind w:right="2899" w:firstLine="544"/>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Subject to the limitations contained herein, your option will vest as provided in your Grant Notice, provided that vesting will cease upon the termination of your Continuous Service.</w:t>
      </w:r>
    </w:p>
    <w:p>
      <w:pPr>
        <w:spacing w:after="0" w:line="175" w:lineRule="exact"/>
        <w:rPr>
          <w:rFonts w:ascii="Courier New" w:cs="Courier New" w:eastAsia="Courier New" w:hAnsi="Courier New"/>
          <w:sz w:val="15"/>
          <w:szCs w:val="15"/>
          <w:color w:val="auto"/>
        </w:rPr>
      </w:pPr>
    </w:p>
    <w:p>
      <w:pPr>
        <w:jc w:val="both"/>
        <w:ind w:right="3259" w:firstLine="544"/>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AND EXERCISE PRICE. The number of shares of Common Stock subject to your option and your exercise price per share referenced in your Grant Notice may be adjusted from time to time for Capitalization Adjustments, as provided in the Plan.</w:t>
      </w:r>
    </w:p>
    <w:p>
      <w:pPr>
        <w:spacing w:after="0" w:line="175" w:lineRule="exact"/>
        <w:rPr>
          <w:rFonts w:ascii="Courier New" w:cs="Courier New" w:eastAsia="Courier New" w:hAnsi="Courier New"/>
          <w:sz w:val="15"/>
          <w:szCs w:val="15"/>
          <w:color w:val="auto"/>
        </w:rPr>
      </w:pPr>
    </w:p>
    <w:p>
      <w:pPr>
        <w:ind w:right="2899" w:firstLine="544"/>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PRIOR TO VESTING ("EARLY EXERCISE"). As permitted in your Grant Notice (i.e., the "Exercise Schedule" indicates that "Early Exercise" of your option is permitted) and subject to the provisions of your option, you may elect at any time that is both (i) during the period of your Continuous Service and (ii) during the term of your option, to exercise all or part of your option, including the nonvested portion of your option; provided, however, that:</w:t>
      </w:r>
    </w:p>
    <w:p>
      <w:pPr>
        <w:spacing w:after="0" w:line="175" w:lineRule="exact"/>
        <w:rPr>
          <w:rFonts w:ascii="Courier New" w:cs="Courier New" w:eastAsia="Courier New" w:hAnsi="Courier New"/>
          <w:sz w:val="15"/>
          <w:szCs w:val="15"/>
          <w:color w:val="auto"/>
        </w:rPr>
      </w:pPr>
    </w:p>
    <w:p>
      <w:pPr>
        <w:ind w:right="2899" w:firstLine="1093"/>
        <w:spacing w:after="0" w:line="249" w:lineRule="auto"/>
        <w:tabs>
          <w:tab w:leader="none" w:pos="146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partial exercise of your option shall be deemed to cover first vested shares of Common Stock and then the earliest vesting installment of unvested shares of Common Stock;</w:t>
      </w:r>
    </w:p>
    <w:p>
      <w:pPr>
        <w:spacing w:after="0" w:line="175" w:lineRule="exact"/>
        <w:rPr>
          <w:rFonts w:ascii="Courier New" w:cs="Courier New" w:eastAsia="Courier New" w:hAnsi="Courier New"/>
          <w:sz w:val="15"/>
          <w:szCs w:val="15"/>
          <w:color w:val="auto"/>
        </w:rPr>
      </w:pPr>
    </w:p>
    <w:p>
      <w:pPr>
        <w:ind w:right="3079" w:firstLine="1093"/>
        <w:spacing w:after="0" w:line="249" w:lineRule="auto"/>
        <w:tabs>
          <w:tab w:leader="none" w:pos="146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of Common Stock so purchased from installments that have not vested as of the date of exercise shall be subject to the purchase option in favor of the Company as described in the Company's form of Early Exercise Stock Purchase Agreement; and</w:t>
      </w:r>
    </w:p>
    <w:p>
      <w:pPr>
        <w:spacing w:after="0" w:line="175" w:lineRule="exact"/>
        <w:rPr>
          <w:rFonts w:ascii="Courier New" w:cs="Courier New" w:eastAsia="Courier New" w:hAnsi="Courier New"/>
          <w:sz w:val="15"/>
          <w:szCs w:val="15"/>
          <w:color w:val="auto"/>
        </w:rPr>
      </w:pPr>
    </w:p>
    <w:p>
      <w:pPr>
        <w:jc w:val="both"/>
        <w:ind w:right="2979" w:firstLine="1093"/>
        <w:spacing w:after="0" w:line="249" w:lineRule="auto"/>
        <w:tabs>
          <w:tab w:leader="none" w:pos="1466"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enter into the Company's form of Early Exercise Stock Purchase Agreement with a vesting schedule that will result in the same vesting as if no early exercise had occurred.</w:t>
      </w:r>
    </w:p>
    <w:p>
      <w:pPr>
        <w:spacing w:after="0" w:line="175" w:lineRule="exact"/>
        <w:rPr>
          <w:rFonts w:ascii="Courier New" w:cs="Courier New" w:eastAsia="Courier New" w:hAnsi="Courier New"/>
          <w:sz w:val="15"/>
          <w:szCs w:val="15"/>
          <w:color w:val="auto"/>
        </w:rPr>
      </w:pPr>
    </w:p>
    <w:p>
      <w:pPr>
        <w:ind w:right="2899" w:firstLine="544"/>
        <w:spacing w:after="0" w:line="249" w:lineRule="auto"/>
        <w:tabs>
          <w:tab w:leader="none" w:pos="824"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Payment of the exercise price is due in full upon exercise of all or any part of your option. You may elect to make payment of the exercise price in cash or by check or by one or more of the following:</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4"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13</w:t>
      </w:r>
    </w:p>
    <w:p>
      <w:pPr>
        <w:spacing w:after="0" w:line="6" w:lineRule="exact"/>
        <w:rPr>
          <w:sz w:val="20"/>
          <w:szCs w:val="20"/>
          <w:color w:val="auto"/>
        </w:rPr>
      </w:pPr>
    </w:p>
    <w:p>
      <w:pPr>
        <w:ind w:left="-260" w:right="2899" w:firstLine="1093"/>
        <w:spacing w:after="0" w:line="249" w:lineRule="auto"/>
        <w:tabs>
          <w:tab w:leader="none" w:pos="1206"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75" w:lineRule="exact"/>
        <w:rPr>
          <w:rFonts w:ascii="Courier New" w:cs="Courier New" w:eastAsia="Courier New" w:hAnsi="Courier New"/>
          <w:sz w:val="15"/>
          <w:szCs w:val="15"/>
          <w:color w:val="auto"/>
        </w:rPr>
      </w:pPr>
    </w:p>
    <w:p>
      <w:pPr>
        <w:ind w:left="-260" w:right="2899" w:firstLine="1093"/>
        <w:spacing w:after="0" w:line="248" w:lineRule="auto"/>
        <w:tabs>
          <w:tab w:leader="none" w:pos="1206"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at the time of exercise the Common Stock is publicly traded and quoted regularly in The Wall Street Journal, by delivery of already-owned shares of Common Stock either that you have held for the period required to avoid a charge to the Company's reported earnings (generally six months) or that you did not acquire, directly or indirectly from the Company, that are owned free and clear of any liens, claims, encumbrances or security interests, and that are valued at Fair Market Value on the date of exercise. "Delivery" for these purposes, in the sole discretion of the Company at the time you exercise your option, shall include delivery to the Company of your attestation of ownership of such shares of Common Stock in a form approved by the Company.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4" w:lineRule="exact"/>
        <w:rPr>
          <w:rFonts w:ascii="Courier New" w:cs="Courier New" w:eastAsia="Courier New" w:hAnsi="Courier New"/>
          <w:sz w:val="15"/>
          <w:szCs w:val="15"/>
          <w:color w:val="auto"/>
        </w:rPr>
      </w:pPr>
    </w:p>
    <w:p>
      <w:pPr>
        <w:ind w:left="-260" w:right="3259" w:firstLine="544"/>
        <w:spacing w:after="0" w:line="250" w:lineRule="auto"/>
        <w:tabs>
          <w:tab w:leader="none" w:pos="5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WHOLE SHARES. You may exercise your option only for whole shares of Common Stock.</w:t>
      </w:r>
    </w:p>
    <w:p>
      <w:pPr>
        <w:spacing w:after="0" w:line="174" w:lineRule="exact"/>
        <w:rPr>
          <w:rFonts w:ascii="Courier New" w:cs="Courier New" w:eastAsia="Courier New" w:hAnsi="Courier New"/>
          <w:sz w:val="15"/>
          <w:szCs w:val="15"/>
          <w:color w:val="auto"/>
        </w:rPr>
      </w:pPr>
    </w:p>
    <w:p>
      <w:pPr>
        <w:ind w:left="-260" w:right="2899" w:firstLine="544"/>
        <w:spacing w:after="0" w:line="249" w:lineRule="auto"/>
        <w:tabs>
          <w:tab w:leader="none" w:pos="5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 COMPLIANCE. Notwithstanding anything to the contrary contained herein, you may not exercise your option unless 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must also comply with other applicable laws and regulations governing your option, and you may not exercise your option if the Company determines that such exercise would not be in material compliance with such laws and regulations.</w:t>
      </w:r>
    </w:p>
    <w:p>
      <w:pPr>
        <w:spacing w:after="0" w:line="175" w:lineRule="exact"/>
        <w:rPr>
          <w:rFonts w:ascii="Courier New" w:cs="Courier New" w:eastAsia="Courier New" w:hAnsi="Courier New"/>
          <w:sz w:val="15"/>
          <w:szCs w:val="15"/>
          <w:color w:val="auto"/>
        </w:rPr>
      </w:pPr>
    </w:p>
    <w:p>
      <w:pPr>
        <w:ind w:left="-260" w:right="3539" w:firstLine="544"/>
        <w:spacing w:after="0" w:line="250" w:lineRule="auto"/>
        <w:tabs>
          <w:tab w:leader="none" w:pos="564"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The term of your option commences on the Date of Grant and expires upon the EARLIEST of the following:</w:t>
      </w:r>
    </w:p>
    <w:p>
      <w:pPr>
        <w:spacing w:after="0" w:line="174" w:lineRule="exact"/>
        <w:rPr>
          <w:rFonts w:ascii="Courier New" w:cs="Courier New" w:eastAsia="Courier New" w:hAnsi="Courier New"/>
          <w:sz w:val="15"/>
          <w:szCs w:val="15"/>
          <w:color w:val="auto"/>
        </w:rPr>
      </w:pPr>
    </w:p>
    <w:p>
      <w:pPr>
        <w:ind w:left="-260" w:right="2899" w:firstLine="1093"/>
        <w:spacing w:after="0" w:line="249" w:lineRule="auto"/>
        <w:tabs>
          <w:tab w:leader="none" w:pos="120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 (3) months after the termination of your Continuous Service for any reason other than your Disability or death, provided that if during any part of such three- (3-) month period your option is not exercisable solely because of the condition set forth in the preceding paragraph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5" w:lineRule="exact"/>
        <w:rPr>
          <w:rFonts w:ascii="Courier New" w:cs="Courier New" w:eastAsia="Courier New" w:hAnsi="Courier New"/>
          <w:sz w:val="15"/>
          <w:szCs w:val="15"/>
          <w:color w:val="auto"/>
        </w:rPr>
      </w:pPr>
    </w:p>
    <w:p>
      <w:pPr>
        <w:ind w:left="-260" w:right="3359" w:firstLine="1093"/>
        <w:spacing w:after="0" w:line="250" w:lineRule="auto"/>
        <w:tabs>
          <w:tab w:leader="none" w:pos="1206"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(12) months after the termination of your Continuous Service due to your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94" w:right="1440" w:bottom="1440" w:gutter="0" w:footer="0" w:header="0"/>
        </w:sectPr>
      </w:pPr>
    </w:p>
    <w:bookmarkStart w:id="123" w:name="page124"/>
    <w:bookmarkEnd w:id="123"/>
    <w:p>
      <w:pPr>
        <w:ind w:left="266"/>
        <w:spacing w:after="0"/>
        <w:rPr>
          <w:sz w:val="20"/>
          <w:szCs w:val="20"/>
          <w:color w:val="auto"/>
        </w:rPr>
      </w:pPr>
      <w:r>
        <w:rPr>
          <w:rFonts w:ascii="Courier New" w:cs="Courier New" w:eastAsia="Courier New" w:hAnsi="Courier New"/>
          <w:sz w:val="15"/>
          <w:szCs w:val="15"/>
          <w:color w:val="auto"/>
        </w:rPr>
        <w:t>14</w:t>
      </w:r>
    </w:p>
    <w:p>
      <w:pPr>
        <w:spacing w:after="0" w:line="6" w:lineRule="exact"/>
        <w:rPr>
          <w:sz w:val="20"/>
          <w:szCs w:val="20"/>
          <w:color w:val="auto"/>
        </w:rPr>
      </w:pPr>
    </w:p>
    <w:p>
      <w:pPr>
        <w:ind w:left="6" w:right="2899" w:firstLine="1093"/>
        <w:spacing w:after="0" w:line="249" w:lineRule="auto"/>
        <w:tabs>
          <w:tab w:leader="none" w:pos="1472"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eighteen (18) months after your death if you die either during your Continuous Service or within three (3) months after your Continuous Service terminates; or</w:t>
      </w:r>
    </w:p>
    <w:p>
      <w:pPr>
        <w:spacing w:after="0" w:line="175" w:lineRule="exact"/>
        <w:rPr>
          <w:rFonts w:ascii="Courier New" w:cs="Courier New" w:eastAsia="Courier New" w:hAnsi="Courier New"/>
          <w:sz w:val="15"/>
          <w:szCs w:val="15"/>
          <w:color w:val="auto"/>
        </w:rPr>
      </w:pPr>
    </w:p>
    <w:p>
      <w:pPr>
        <w:ind w:left="1466" w:hanging="367"/>
        <w:spacing w:after="0"/>
        <w:tabs>
          <w:tab w:leader="none" w:pos="1466"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indicated in your Grant Notice; or</w:t>
      </w:r>
    </w:p>
    <w:p>
      <w:pPr>
        <w:spacing w:after="0" w:line="182" w:lineRule="exact"/>
        <w:rPr>
          <w:rFonts w:ascii="Courier New" w:cs="Courier New" w:eastAsia="Courier New" w:hAnsi="Courier New"/>
          <w:sz w:val="15"/>
          <w:szCs w:val="15"/>
          <w:color w:val="auto"/>
        </w:rPr>
      </w:pPr>
    </w:p>
    <w:p>
      <w:pPr>
        <w:ind w:left="1466" w:hanging="367"/>
        <w:spacing w:after="0"/>
        <w:tabs>
          <w:tab w:leader="none" w:pos="1466"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before the tenth (10th) anniversary of the Date of</w:t>
      </w:r>
    </w:p>
    <w:p>
      <w:pPr>
        <w:spacing w:after="0" w:line="6"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182" w:lineRule="exact"/>
        <w:rPr>
          <w:rFonts w:ascii="Courier New" w:cs="Courier New" w:eastAsia="Courier New" w:hAnsi="Courier New"/>
          <w:sz w:val="15"/>
          <w:szCs w:val="15"/>
          <w:color w:val="auto"/>
        </w:rPr>
      </w:pPr>
    </w:p>
    <w:p>
      <w:pPr>
        <w:ind w:left="826" w:hanging="276"/>
        <w:spacing w:after="0"/>
        <w:tabs>
          <w:tab w:leader="none" w:pos="826"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w:t>
      </w:r>
    </w:p>
    <w:p>
      <w:pPr>
        <w:spacing w:after="0" w:line="182" w:lineRule="exact"/>
        <w:rPr>
          <w:rFonts w:ascii="Courier New" w:cs="Courier New" w:eastAsia="Courier New" w:hAnsi="Courier New"/>
          <w:sz w:val="15"/>
          <w:szCs w:val="15"/>
          <w:color w:val="auto"/>
        </w:rPr>
      </w:pPr>
    </w:p>
    <w:p>
      <w:pPr>
        <w:ind w:left="6" w:right="3079" w:firstLine="1093"/>
        <w:spacing w:after="0" w:line="249" w:lineRule="auto"/>
        <w:tabs>
          <w:tab w:leader="none" w:pos="1472"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exercise your option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5" w:lineRule="exact"/>
        <w:rPr>
          <w:rFonts w:ascii="Courier New" w:cs="Courier New" w:eastAsia="Courier New" w:hAnsi="Courier New"/>
          <w:sz w:val="15"/>
          <w:szCs w:val="15"/>
          <w:color w:val="auto"/>
        </w:rPr>
      </w:pPr>
    </w:p>
    <w:p>
      <w:pPr>
        <w:ind w:left="6" w:right="2979" w:firstLine="1093"/>
        <w:spacing w:after="0" w:line="249" w:lineRule="auto"/>
        <w:tabs>
          <w:tab w:leader="none" w:pos="1472"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the exercise of your option.</w:t>
      </w:r>
    </w:p>
    <w:p>
      <w:pPr>
        <w:spacing w:after="0" w:line="175" w:lineRule="exact"/>
        <w:rPr>
          <w:rFonts w:ascii="Courier New" w:cs="Courier New" w:eastAsia="Courier New" w:hAnsi="Courier New"/>
          <w:sz w:val="15"/>
          <w:szCs w:val="15"/>
          <w:color w:val="auto"/>
        </w:rPr>
      </w:pPr>
    </w:p>
    <w:p>
      <w:pPr>
        <w:jc w:val="both"/>
        <w:ind w:left="6" w:right="2899" w:firstLine="544"/>
        <w:spacing w:after="0" w:line="248" w:lineRule="auto"/>
        <w:tabs>
          <w:tab w:leader="none" w:pos="83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Your option is not transferable, except (i) by will or by the laws of descent and distribution, or (ii) as permitted under the Form S-8 registration statement regulations in effect at the time of the transfer.(1)</w:t>
      </w:r>
    </w:p>
    <w:p>
      <w:pPr>
        <w:spacing w:after="0" w:line="1" w:lineRule="exact"/>
        <w:rPr>
          <w:rFonts w:ascii="Courier New" w:cs="Courier New" w:eastAsia="Courier New" w:hAnsi="Courier New"/>
          <w:sz w:val="15"/>
          <w:szCs w:val="15"/>
          <w:color w:val="auto"/>
        </w:rPr>
      </w:pPr>
    </w:p>
    <w:p>
      <w:pPr>
        <w:ind w:left="6" w:right="289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Your option is exercisable during your life only by you or a transferee satisfying the above-stated conditions. The right of a transferee to exercise the transferred portion of your option after termination of your Continuous Service shall terminate in accordance with your right to exercise your option as specified in your option. In the event that your Continuous Service terminates due to your death, your transferee will be treated as a person who acquired the right to exercise your option by bequest or inheritance. In addition to the foregoing, the Company may require, as a condition of the transfer of your option to a trust or by gift, that your transferee enter into an option transfer agreement provided by, or acceptable to, the Company. The terms of your option shall be binding upon your transferees, executors, administrators, heirs, successors, and assigns. Notwithstanding the foregoing, by delivering written notice to the Company, in a form satisfactory to the Company, you may designate a third party who, in the event of your death, shall thereafter be entitled to exercise your option.</w:t>
      </w:r>
    </w:p>
    <w:p>
      <w:pPr>
        <w:spacing w:after="0" w:line="361"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2899" w:hanging="6"/>
        <w:spacing w:after="0" w:line="248" w:lineRule="auto"/>
        <w:tabs>
          <w:tab w:leader="none" w:pos="37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General Instructions to the Form S-8 Registration Statement, Rule A.1.(5). Currently a Form S-8 is available for the exercise of your option and the subsequent resale of the underlying securities by your family member who has acquired your option from you through a gift or a domestic relations order. For purposes of Form S-8, "family member" currently includes any child, stepchild, grandchild, parent, stepparent, grandparent, spouse, former spouse, sibling, niece, nephew, mother-in-law, father-in-law, son-in-law, daughter-in-law, brother-in-law, or sister-in-law, including adoptive relationships, any person sharing your household (other than a tenant or employee), a trust in which these persons have more than fifty percent (50%) of the beneficial interest, a foundation in which these persons (or you) control the management of assets, and any other entity in which these persons (or you) own more than fifty percent (50%) of the voting interests. Form S-8 currently is not available for the exercise of an option transferred for value. The following transactions currently are not prohibited transfers for value: (i) a transfer under a domestic relations order in settlement of marital property rights; and (ii) a transfer to an entity in which more than fifty percent (50%) of the voting interests are owned by family members (or you) in exchange for an interest in that entity.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5"/>
          </w:cols>
          <w:pgMar w:left="234" w:top="294"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15</w:t>
      </w:r>
    </w:p>
    <w:p>
      <w:pPr>
        <w:spacing w:after="0" w:line="6" w:lineRule="exact"/>
        <w:rPr>
          <w:sz w:val="20"/>
          <w:szCs w:val="20"/>
          <w:color w:val="auto"/>
        </w:rPr>
      </w:pPr>
    </w:p>
    <w:p>
      <w:pPr>
        <w:ind w:left="-260" w:right="2899" w:firstLine="544"/>
        <w:spacing w:after="0" w:line="249" w:lineRule="auto"/>
        <w:tabs>
          <w:tab w:leader="none" w:pos="65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NOT A SERVICE CONTRACT. Your option is not an employment or service contract, and nothing in your option shall be 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75" w:lineRule="exact"/>
        <w:rPr>
          <w:rFonts w:ascii="Courier New" w:cs="Courier New" w:eastAsia="Courier New" w:hAnsi="Courier New"/>
          <w:sz w:val="15"/>
          <w:szCs w:val="15"/>
          <w:color w:val="auto"/>
        </w:rPr>
      </w:pPr>
    </w:p>
    <w:p>
      <w:pPr>
        <w:ind w:left="-260" w:right="2899" w:firstLine="544"/>
        <w:spacing w:after="0" w:line="249" w:lineRule="auto"/>
        <w:tabs>
          <w:tab w:leader="none" w:pos="65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notices provided for in your option or the Plan shall be given in writing and shall be deemed effectively given upon receipt or, in the case of notices delivered by mail by the Company to you, five (5) days after deposit in the United States mail, postage prepaid, addressed to you at the last address you provided to the Company.</w:t>
      </w:r>
    </w:p>
    <w:p>
      <w:pPr>
        <w:spacing w:after="0" w:line="175" w:lineRule="exact"/>
        <w:rPr>
          <w:rFonts w:ascii="Courier New" w:cs="Courier New" w:eastAsia="Courier New" w:hAnsi="Courier New"/>
          <w:sz w:val="15"/>
          <w:szCs w:val="15"/>
          <w:color w:val="auto"/>
        </w:rPr>
      </w:pPr>
    </w:p>
    <w:p>
      <w:pPr>
        <w:ind w:left="-260" w:right="2899" w:firstLine="544"/>
        <w:spacing w:after="0" w:line="249" w:lineRule="auto"/>
        <w:tabs>
          <w:tab w:leader="none" w:pos="656"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PLAN DOCUMENT. Your option is subject to all the provisions of the Plan, the provisions of which are hereby made a part 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200" w:lineRule="exact"/>
        <w:rPr>
          <w:sz w:val="20"/>
          <w:szCs w:val="20"/>
          <w:color w:val="auto"/>
        </w:rPr>
      </w:pPr>
    </w:p>
    <w:p>
      <w:pPr>
        <w:spacing w:after="0" w:line="32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94"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w:t>
      </w:r>
    </w:p>
    <w:p>
      <w:pPr>
        <w:spacing w:after="0" w:line="182"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359"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We consent to the references to our firm under the captions "Selected Consolidated Financial Data" and "Experts" and to the use of our report dated March 8, 2000, in Amendment No. 1 to the Registration Statement (Form S-1 No. 333-33016) and related Prospectus of Intuitive Surgical, Inc. for the registration of 9,200,000 shares of its common stock.</w:t>
      </w:r>
    </w:p>
    <w:p>
      <w:pPr>
        <w:spacing w:after="0" w:line="17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5"/>
          <w:szCs w:val="15"/>
          <w:color w:val="auto"/>
        </w:rPr>
        <w:t>/s/ Ernst &amp; Young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 2000</w:t>
      </w:r>
    </w:p>
    <w:p>
      <w:pPr>
        <w:sectPr>
          <w:pgSz w:w="11900" w:h="16838" w:orient="portrait"/>
          <w:cols w:equalWidth="0" w:num="1">
            <w:col w:w="10219"/>
          </w:cols>
          <w:pgMar w:left="240" w:top="141"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59"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3-MOS</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DEC-31-2000</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JAN-01-2000</w:t>
      </w:r>
    </w:p>
    <w:p>
      <w:pPr>
        <w:spacing w:after="0" w:line="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MAR-31-2000</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39,046</w:t>
      </w:r>
    </w:p>
    <w:p>
      <w:pPr>
        <w:spacing w:after="0" w:line="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15,585</w:t>
      </w:r>
    </w:p>
    <w:p>
      <w:pPr>
        <w:spacing w:after="0" w:line="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2,780</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3,573</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62,002</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7,050</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3,971</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65,081</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10,276</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2,471</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23</w:t>
      </w:r>
    </w:p>
    <w:p>
      <w:pPr>
        <w:spacing w:after="0" w:line="6"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7</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52,304</w:t>
      </w:r>
    </w:p>
    <w:p>
      <w:pPr>
        <w:spacing w:after="0" w:line="6"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65,081</w:t>
      </w:r>
    </w:p>
    <w:p>
      <w:pPr>
        <w:spacing w:after="0" w:line="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2,933</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2,933</w:t>
      </w:r>
    </w:p>
    <w:p>
      <w:pPr>
        <w:spacing w:after="0" w:line="6" w:lineRule="exact"/>
        <w:rPr>
          <w:sz w:val="20"/>
          <w:szCs w:val="20"/>
          <w:color w:val="auto"/>
        </w:rPr>
      </w:pPr>
    </w:p>
    <w:p>
      <w:pPr>
        <w:jc w:val="right"/>
        <w:ind w:right="5739"/>
        <w:spacing w:after="0"/>
        <w:rPr>
          <w:sz w:val="20"/>
          <w:szCs w:val="20"/>
          <w:color w:val="auto"/>
        </w:rPr>
      </w:pPr>
      <w:r>
        <w:rPr>
          <w:rFonts w:ascii="Courier New" w:cs="Courier New" w:eastAsia="Courier New" w:hAnsi="Courier New"/>
          <w:sz w:val="15"/>
          <w:szCs w:val="15"/>
          <w:color w:val="auto"/>
        </w:rPr>
        <w:t>2,532</w:t>
      </w:r>
    </w:p>
    <w:p>
      <w:pPr>
        <w:spacing w:after="0" w:line="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2,532</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2,631</w:t>
      </w:r>
    </w:p>
    <w:p>
      <w:pPr>
        <w:spacing w:after="0" w:line="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102</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(5,032)</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0</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(5,032)</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(0.90)</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(0.90)</w:t>
      </w:r>
    </w:p>
    <w:sectPr>
      <w:pgSz w:w="11900" w:h="16838" w:orient="portrait"/>
      <w:cols w:equalWidth="0" w:num="1">
        <w:col w:w="10139"/>
      </w:cols>
      <w:pgMar w:left="32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amp;"/>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lvl w:ilvl="1">
      <w:lvlJc w:val="left"/>
      <w:lvlText w:val="*"/>
      <w:numFmt w:val="bullet"/>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1."/>
      <w:numFmt w:val="decimal"/>
      <w:start w:val="1"/>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1)"/>
      <w:numFmt w:val="decimal"/>
      <w:start w:val="1"/>
    </w:lvl>
  </w:abstractNum>
  <w:abstractNum w:abstractNumId="48">
    <w:nsid w:val="2F305DEF"/>
    <w:multiLevelType w:val="hybridMultilevel"/>
    <w:lvl w:ilvl="0">
      <w:lvlJc w:val="left"/>
      <w:lvlText w:val="(%1)"/>
      <w:numFmt w:val="decimal"/>
      <w:start w:val="11"/>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decimal"/>
      <w:start w:val="1"/>
    </w:lvl>
  </w:abstractNum>
  <w:abstractNum w:abstractNumId="51">
    <w:nsid w:val="4AD084E9"/>
    <w:multiLevelType w:val="hybridMultilevel"/>
    <w:lvl w:ilvl="0">
      <w:lvlJc w:val="left"/>
      <w:lvlText w:val="(%1)"/>
      <w:numFmt w:val="decimal"/>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1."/>
      <w:numFmt w:val="decimal"/>
      <w:start w:val="1"/>
    </w:lvl>
    <w:lvl w:ilvl="1">
      <w:lvlJc w:val="left"/>
      <w:lvlText w:val="(%2)"/>
      <w:numFmt w:val="lowerLetter"/>
      <w:start w:val="1"/>
    </w:lvl>
  </w:abstractNum>
  <w:abstractNum w:abstractNumId="54">
    <w:nsid w:val="5DB70AE5"/>
    <w:multiLevelType w:val="hybridMultilevel"/>
    <w:lvl w:ilvl="0">
      <w:lvlJc w:val="left"/>
      <w:lvlText w:val="(%1)"/>
      <w:numFmt w:val="lowerLetter"/>
      <w:start w:val="9"/>
    </w:lvl>
    <w:lvl w:ilvl="1">
      <w:lvlJc w:val="left"/>
      <w:lvlText w:val="(%2)"/>
      <w:numFmt w:val="lowerRoman"/>
      <w:start w:val="1"/>
    </w:lvl>
  </w:abstractNum>
  <w:abstractNum w:abstractNumId="55">
    <w:nsid w:val="100F8FCA"/>
    <w:multiLevelType w:val="hybridMultilevel"/>
    <w:lvl w:ilvl="0">
      <w:lvlJc w:val="left"/>
      <w:lvlText w:val="%1"/>
      <w:numFmt w:val="decimal"/>
      <w:start w:val="1"/>
    </w:lvl>
    <w:lvl w:ilvl="1">
      <w:lvlJc w:val="left"/>
      <w:lvlText w:val="(%2)"/>
      <w:numFmt w:val="lowerLetter"/>
      <w:start w:val="16"/>
    </w:lvl>
    <w:lvl w:ilvl="2">
      <w:lvlJc w:val="left"/>
      <w:lvlText w:val="%3"/>
      <w:numFmt w:val="lowerRoman"/>
      <w:start w:val="1"/>
    </w:lvl>
  </w:abstractNum>
  <w:abstractNum w:abstractNumId="56">
    <w:nsid w:val="659070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58">
    <w:nsid w:val="5F5E7FD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0">
    <w:nsid w:val="799D0247"/>
    <w:multiLevelType w:val="hybridMultilevel"/>
    <w:lvl w:ilvl="0">
      <w:lvlJc w:val="left"/>
      <w:lvlText w:val="%1."/>
      <w:numFmt w:val="decimal"/>
      <w:start w:val="5"/>
    </w:lvl>
  </w:abstractNum>
  <w:abstractNum w:abstractNumId="61">
    <w:nsid w:val="6B94764"/>
    <w:multiLevelType w:val="hybridMultilevel"/>
    <w:lvl w:ilvl="0">
      <w:lvlJc w:val="left"/>
      <w:lvlText w:val="%1."/>
      <w:numFmt w:val="decimal"/>
      <w:start w:val="6"/>
    </w:lvl>
    <w:lvl w:ilvl="1">
      <w:lvlJc w:val="left"/>
      <w:lvlText w:val="(%2)"/>
      <w:numFmt w:val="lowerLetter"/>
      <w:start w:val="1"/>
    </w:lvl>
  </w:abstractNum>
  <w:abstractNum w:abstractNumId="62">
    <w:nsid w:val="42C296BD"/>
    <w:multiLevelType w:val="hybridMultilevel"/>
    <w:lvl w:ilvl="0">
      <w:lvlJc w:val="left"/>
      <w:lvlText w:val="%1"/>
      <w:numFmt w:val="decimal"/>
      <w:start w:val="1"/>
    </w:lvl>
    <w:lvl w:ilvl="1">
      <w:lvlJc w:val="left"/>
      <w:lvlText w:val="(%2)"/>
      <w:numFmt w:val="lowerLetter"/>
      <w:start w:val="1"/>
    </w:lvl>
  </w:abstractNum>
  <w:abstractNum w:abstractNumId="63">
    <w:nsid w:val="168E121F"/>
    <w:multiLevelType w:val="hybridMultilevel"/>
    <w:lvl w:ilvl="0">
      <w:lvlJc w:val="left"/>
      <w:lvlText w:val="(%1)"/>
      <w:numFmt w:val="decimal"/>
      <w:start w:val="10"/>
    </w:lvl>
    <w:lvl w:ilvl="1">
      <w:lvlJc w:val="left"/>
      <w:lvlText w:val="(%2)"/>
      <w:numFmt w:val="lowerLetter"/>
      <w:start w:val="2"/>
    </w:lvl>
  </w:abstractNum>
  <w:abstractNum w:abstractNumId="64">
    <w:nsid w:val="1EBA5D23"/>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5">
    <w:nsid w:val="661E3F1E"/>
    <w:multiLevelType w:val="hybridMultilevel"/>
    <w:lvl w:ilvl="0">
      <w:lvlJc w:val="left"/>
      <w:lvlText w:val="(%1)"/>
      <w:numFmt w:val="lowerLetter"/>
      <w:start w:val="35"/>
    </w:lvl>
    <w:lvl w:ilvl="1">
      <w:lvlJc w:val="left"/>
      <w:lvlText w:val="(%2)"/>
      <w:numFmt w:val="lowerLetter"/>
      <w:start w:val="8"/>
    </w:lvl>
    <w:lvl w:ilvl="2">
      <w:lvlJc w:val="left"/>
      <w:lvlText w:val="%3"/>
      <w:numFmt w:val="lowerRoman"/>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lvl w:ilvl="1">
      <w:lvlJc w:val="left"/>
      <w:lvlText w:val="(%2)"/>
      <w:numFmt w:val="lowerLetter"/>
      <w:start w:val="9"/>
    </w:lvl>
  </w:abstractNum>
  <w:abstractNum w:abstractNumId="68">
    <w:nsid w:val="7BD3EE7B"/>
    <w:multiLevelType w:val="hybridMultilevel"/>
    <w:lvl w:ilvl="0">
      <w:lvlJc w:val="left"/>
      <w:lvlText w:val="%1."/>
      <w:numFmt w:val="decimal"/>
      <w:start w:val="8"/>
    </w:lvl>
    <w:lvl w:ilvl="1">
      <w:lvlJc w:val="left"/>
      <w:lvlText w:val="(%2)"/>
      <w:numFmt w:val="lowerLetter"/>
      <w:start w:val="1"/>
    </w:lvl>
  </w:abstractNum>
  <w:abstractNum w:abstractNumId="69">
    <w:nsid w:val="51D9C564"/>
    <w:multiLevelType w:val="hybridMultilevel"/>
    <w:lvl w:ilvl="0">
      <w:lvlJc w:val="left"/>
      <w:lvlText w:val="%1."/>
      <w:numFmt w:val="decimal"/>
      <w:start w:val="10"/>
    </w:lvl>
    <w:lvl w:ilvl="1">
      <w:lvlJc w:val="left"/>
      <w:lvlText w:val="(%2)"/>
      <w:numFmt w:val="lowerLetter"/>
      <w:start w:val="1"/>
    </w:lvl>
  </w:abstractNum>
  <w:abstractNum w:abstractNumId="70">
    <w:nsid w:val="613EFDC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71">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72">
    <w:nsid w:val="11447B73"/>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73">
    <w:nsid w:val="42963E5A"/>
    <w:multiLevelType w:val="hybridMultilevel"/>
    <w:lvl w:ilvl="0">
      <w:lvlJc w:val="left"/>
      <w:lvlText w:val="%1."/>
      <w:numFmt w:val="decimal"/>
      <w:start w:val="15"/>
    </w:lvl>
  </w:abstractNum>
  <w:abstractNum w:abstractNumId="74">
    <w:nsid w:val="A0382C5"/>
    <w:multiLevelType w:val="hybridMultilevel"/>
    <w:lvl w:ilvl="0">
      <w:lvlJc w:val="left"/>
      <w:lvlText w:val="%1."/>
      <w:numFmt w:val="decimal"/>
      <w:start w:val="1"/>
    </w:lvl>
    <w:lvl w:ilvl="1">
      <w:lvlJc w:val="left"/>
      <w:lvlText w:val="(%2)"/>
      <w:numFmt w:val="lowerLetter"/>
      <w:start w:val="1"/>
    </w:lvl>
  </w:abstractNum>
  <w:abstractNum w:abstractNumId="75">
    <w:nsid w:val="8F2B15E"/>
    <w:multiLevelType w:val="hybridMultilevel"/>
    <w:lvl w:ilvl="0">
      <w:lvlJc w:val="left"/>
      <w:lvlText w:val="%1"/>
      <w:numFmt w:val="decimal"/>
      <w:start w:val="1"/>
    </w:lvl>
    <w:lvl w:ilvl="1">
      <w:lvlJc w:val="left"/>
      <w:lvlText w:val="(%2)"/>
      <w:numFmt w:val="lowerLetter"/>
      <w:start w:val="1"/>
    </w:lvl>
  </w:abstractNum>
  <w:abstractNum w:abstractNumId="76">
    <w:nsid w:val="1A32234B"/>
    <w:multiLevelType w:val="hybridMultilevel"/>
    <w:lvl w:ilvl="0">
      <w:lvlJc w:val="left"/>
      <w:lvlText w:val="%1."/>
      <w:numFmt w:val="decimal"/>
      <w:start w:val="5"/>
    </w:lvl>
    <w:lvl w:ilvl="1">
      <w:lvlJc w:val="left"/>
      <w:lvlText w:val="(%2)"/>
      <w:numFmt w:val="lowerLetter"/>
      <w:start w:val="1"/>
    </w:lvl>
  </w:abstractNum>
  <w:abstractNum w:abstractNumId="77">
    <w:nsid w:val="3B0FD379"/>
    <w:multiLevelType w:val="hybridMultilevel"/>
    <w:lvl w:ilvl="0">
      <w:lvlJc w:val="left"/>
      <w:lvlText w:val="-"/>
      <w:numFmt w:val="bullet"/>
      <w:start w:val="1"/>
    </w:lvl>
    <w:lvl w:ilvl="1">
      <w:lvlJc w:val="left"/>
      <w:lvlText w:val="%2"/>
      <w:numFmt w:val="decimal"/>
      <w:start w:val="1"/>
    </w:lvl>
    <w:lvl w:ilvl="2">
      <w:lvlJc w:val="left"/>
      <w:lvlText w:val="(%3)"/>
      <w:numFmt w:val="lowerLetter"/>
      <w:start w:val="3"/>
    </w:lvl>
  </w:abstractNum>
  <w:abstractNum w:abstractNumId="78">
    <w:nsid w:val="68EB2F63"/>
    <w:multiLevelType w:val="hybridMultilevel"/>
    <w:lvl w:ilvl="0">
      <w:lvlJc w:val="left"/>
      <w:lvlText w:val="-"/>
      <w:numFmt w:val="bullet"/>
      <w:start w:val="1"/>
    </w:lvl>
    <w:lvl w:ilvl="1">
      <w:lvlJc w:val="left"/>
      <w:lvlText w:val="%2."/>
      <w:numFmt w:val="decimal"/>
      <w:start w:val="8"/>
    </w:lvl>
    <w:lvl w:ilvl="2">
      <w:lvlJc w:val="left"/>
      <w:lvlText w:val="(%3)"/>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2019-12-14T15:25:41Z</dcterms:created>
  <dcterms:modified xsi:type="dcterms:W3CDTF">2019-12-14T15:25:41Z</dcterms:modified>
</cp:coreProperties>
</file>