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5"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ind w:left="2960"/>
        <w:spacing w:after="0"/>
        <w:rPr>
          <w:sz w:val="20"/>
          <w:szCs w:val="20"/>
          <w:color w:val="auto"/>
        </w:rPr>
      </w:pPr>
      <w:r>
        <w:rPr>
          <w:rFonts w:ascii="Courier New" w:cs="Courier New" w:eastAsia="Courier New" w:hAnsi="Courier New"/>
          <w:sz w:val="18"/>
          <w:szCs w:val="18"/>
          <w:color w:val="auto"/>
        </w:rPr>
        <w:t>-------------------------</w:t>
      </w:r>
    </w:p>
    <w:p>
      <w:pPr>
        <w:jc w:val="center"/>
        <w:ind w:right="1779"/>
        <w:spacing w:after="0" w:line="237" w:lineRule="auto"/>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0" w:lineRule="exact"/>
        <w:rPr>
          <w:sz w:val="24"/>
          <w:szCs w:val="24"/>
          <w:color w:val="auto"/>
        </w:rPr>
      </w:pPr>
    </w:p>
    <w:p>
      <w:pPr>
        <w:spacing w:after="0" w:line="204"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INFORMATION TO BE INCLUDED IN STATEMENTS FILED PURSUANT</w:t>
      </w:r>
    </w:p>
    <w:p>
      <w:pPr>
        <w:ind w:left="1160"/>
        <w:spacing w:after="0" w:line="238" w:lineRule="auto"/>
        <w:rPr>
          <w:sz w:val="20"/>
          <w:szCs w:val="20"/>
          <w:color w:val="auto"/>
        </w:rPr>
      </w:pPr>
      <w:r>
        <w:rPr>
          <w:rFonts w:ascii="Courier New" w:cs="Courier New" w:eastAsia="Courier New" w:hAnsi="Courier New"/>
          <w:sz w:val="18"/>
          <w:szCs w:val="18"/>
          <w:color w:val="auto"/>
        </w:rPr>
        <w:t>TO RULES 13d-1(b)(c), AND (d) AND AMENDMENTS THERETO FILED</w:t>
      </w:r>
    </w:p>
    <w:p>
      <w:pPr>
        <w:ind w:left="2960"/>
        <w:spacing w:after="0"/>
        <w:rPr>
          <w:sz w:val="20"/>
          <w:szCs w:val="20"/>
          <w:color w:val="auto"/>
        </w:rPr>
      </w:pPr>
      <w:r>
        <w:rPr>
          <w:rFonts w:ascii="Courier New" w:cs="Courier New" w:eastAsia="Courier New" w:hAnsi="Courier New"/>
          <w:sz w:val="18"/>
          <w:szCs w:val="18"/>
          <w:color w:val="auto"/>
        </w:rPr>
        <w:t>PURSUANT TO RULE 13d-2(b)</w:t>
      </w:r>
    </w:p>
    <w:p>
      <w:pPr>
        <w:spacing w:after="0" w:line="200"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(Amendment No.)</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Intuitive Surgical, Inc.</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Common Stock</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46120E107</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December 31, 2001</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3" w:lineRule="exact"/>
        <w:rPr>
          <w:sz w:val="24"/>
          <w:szCs w:val="24"/>
          <w:color w:val="auto"/>
        </w:rPr>
      </w:pPr>
    </w:p>
    <w:p>
      <w:pPr>
        <w:ind w:left="540"/>
        <w:spacing w:after="0"/>
        <w:tabs>
          <w:tab w:leader="none" w:pos="1680" w:val="left"/>
          <w:tab w:leader="none" w:pos="3040" w:val="left"/>
          <w:tab w:leader="none" w:pos="3880" w:val="left"/>
          <w:tab w:leader="none" w:pos="5040" w:val="left"/>
          <w:tab w:leader="none" w:pos="6100" w:val="left"/>
        </w:tabs>
        <w:rPr>
          <w:sz w:val="20"/>
          <w:szCs w:val="20"/>
          <w:color w:val="auto"/>
        </w:rPr>
      </w:pPr>
      <w:r>
        <w:rPr>
          <w:rFonts w:ascii="Courier New" w:cs="Courier New" w:eastAsia="Courier New" w:hAnsi="Courier New"/>
          <w:sz w:val="18"/>
          <w:szCs w:val="18"/>
          <w:color w:val="auto"/>
        </w:rPr>
        <w:t>Check the</w:t>
        <w:tab/>
        <w:t>appropriate</w:t>
        <w:tab/>
        <w:t>box to</w:t>
        <w:tab/>
        <w:t>designate</w:t>
        <w:tab/>
        <w:t>the rule</w:t>
      </w:r>
      <w:r>
        <w:rPr>
          <w:sz w:val="20"/>
          <w:szCs w:val="20"/>
          <w:color w:val="auto"/>
        </w:rPr>
        <w:tab/>
      </w:r>
      <w:r>
        <w:rPr>
          <w:rFonts w:ascii="Courier New" w:cs="Courier New" w:eastAsia="Courier New" w:hAnsi="Courier New"/>
          <w:sz w:val="16"/>
          <w:szCs w:val="16"/>
          <w:color w:val="auto"/>
        </w:rPr>
        <w:t>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left="1060" w:right="7259" w:firstLine="1"/>
        <w:spacing w:after="0" w:line="536" w:lineRule="auto"/>
        <w:tabs>
          <w:tab w:leader="none" w:pos="1587"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ind w:left="10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0" w:lineRule="exact"/>
        <w:rPr>
          <w:rFonts w:ascii="Courier New" w:cs="Courier New" w:eastAsia="Courier New" w:hAnsi="Courier New"/>
          <w:sz w:val="16"/>
          <w:szCs w:val="16"/>
          <w:color w:val="auto"/>
        </w:rPr>
      </w:pPr>
    </w:p>
    <w:p>
      <w:pPr>
        <w:spacing w:after="0" w:line="20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sz w:val="24"/>
          <w:szCs w:val="24"/>
          <w:color w:val="auto"/>
        </w:rPr>
      </w:pPr>
    </w:p>
    <w:p>
      <w:pPr>
        <w:jc w:val="both"/>
        <w:ind w:left="540" w:right="1779" w:hanging="532"/>
        <w:spacing w:after="0" w:line="237"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6"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Page 1 of 6 Pages</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spacing w:after="0"/>
        <w:tabs>
          <w:tab w:leader="none" w:pos="3780" w:val="left"/>
          <w:tab w:leader="none" w:pos="6420" w:val="left"/>
        </w:tabs>
        <w:rPr>
          <w:sz w:val="20"/>
          <w:szCs w:val="20"/>
          <w:color w:val="auto"/>
        </w:rPr>
      </w:pPr>
      <w:r>
        <w:rPr>
          <w:rFonts w:ascii="Courier New" w:cs="Courier New" w:eastAsia="Courier New" w:hAnsi="Courier New"/>
          <w:sz w:val="18"/>
          <w:szCs w:val="18"/>
          <w:color w:val="auto"/>
        </w:rPr>
        <w:t>CUSIP No.46120E107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6 Pages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18"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w:t>
      </w: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Bear Stearns S&amp;P STARS Portfolio</w:t>
      </w:r>
    </w:p>
    <w:p>
      <w:pPr>
        <w:ind w:left="540"/>
        <w:spacing w:after="0" w:line="238" w:lineRule="auto"/>
        <w:rPr>
          <w:sz w:val="20"/>
          <w:szCs w:val="20"/>
          <w:color w:val="auto"/>
        </w:rPr>
      </w:pPr>
      <w:r>
        <w:rPr>
          <w:rFonts w:ascii="Courier New" w:cs="Courier New" w:eastAsia="Courier New" w:hAnsi="Courier New"/>
          <w:sz w:val="18"/>
          <w:szCs w:val="18"/>
          <w:color w:val="auto"/>
        </w:rPr>
        <w:t>13-3806318</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[_]</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[_]</w:t>
      </w: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4"/>
          <w:szCs w:val="24"/>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1" w:lineRule="exact"/>
        <w:rPr>
          <w:sz w:val="24"/>
          <w:szCs w:val="24"/>
          <w:color w:val="auto"/>
        </w:rPr>
      </w:pPr>
    </w:p>
    <w:p>
      <w:pPr>
        <w:ind w:left="540" w:right="5899" w:hanging="532"/>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7023"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520" w:type="dxa"/>
            <w:vAlign w:val="bottom"/>
          </w:tcPr>
          <w:p>
            <w:pPr>
              <w:ind w:left="140"/>
              <w:spacing w:after="0"/>
              <w:rPr>
                <w:sz w:val="20"/>
                <w:szCs w:val="20"/>
                <w:color w:val="auto"/>
              </w:rPr>
            </w:pPr>
            <w:r>
              <w:rPr>
                <w:rFonts w:ascii="Courier New" w:cs="Courier New" w:eastAsia="Courier New" w:hAnsi="Courier New"/>
                <w:sz w:val="18"/>
                <w:szCs w:val="18"/>
                <w:color w:val="auto"/>
              </w:rPr>
              <w:t>5.</w:t>
            </w: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44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8"/>
              </w:rPr>
              <w:t>SHARES</w:t>
            </w:r>
          </w:p>
        </w:tc>
        <w:tc>
          <w:tcPr>
            <w:tcW w:w="520" w:type="dxa"/>
            <w:vAlign w:val="bottom"/>
          </w:tcPr>
          <w:p>
            <w:pPr>
              <w:spacing w:after="0"/>
              <w:rPr>
                <w:sz w:val="24"/>
                <w:szCs w:val="24"/>
                <w:color w:val="auto"/>
              </w:rPr>
            </w:pP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3,500,000</w:t>
            </w:r>
          </w:p>
        </w:tc>
      </w:tr>
      <w:tr>
        <w:trPr>
          <w:trHeight w:val="203"/>
        </w:trPr>
        <w:tc>
          <w:tcPr>
            <w:tcW w:w="1440" w:type="dxa"/>
            <w:vAlign w:val="bottom"/>
          </w:tcPr>
          <w:p>
            <w:pPr>
              <w:spacing w:after="0"/>
              <w:rPr>
                <w:sz w:val="17"/>
                <w:szCs w:val="17"/>
                <w:color w:val="auto"/>
              </w:rPr>
            </w:pP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_________________________________________________________________</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6.</w:t>
            </w: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405"/>
        </w:trPr>
        <w:tc>
          <w:tcPr>
            <w:tcW w:w="144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spacing w:after="0"/>
              <w:rPr>
                <w:sz w:val="24"/>
                <w:szCs w:val="24"/>
                <w:color w:val="auto"/>
              </w:rPr>
            </w:pP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203"/>
        </w:trPr>
        <w:tc>
          <w:tcPr>
            <w:tcW w:w="1440" w:type="dxa"/>
            <w:vAlign w:val="bottom"/>
          </w:tcPr>
          <w:p>
            <w:pPr>
              <w:spacing w:after="0"/>
              <w:rPr>
                <w:sz w:val="17"/>
                <w:szCs w:val="17"/>
                <w:color w:val="auto"/>
              </w:rPr>
            </w:pP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_________________________________________________________________</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7.</w:t>
            </w: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1440" w:type="dxa"/>
            <w:vAlign w:val="bottom"/>
          </w:tcPr>
          <w:p>
            <w:pPr>
              <w:ind w:left="220"/>
              <w:spacing w:after="0"/>
              <w:rPr>
                <w:sz w:val="20"/>
                <w:szCs w:val="20"/>
                <w:color w:val="auto"/>
              </w:rPr>
            </w:pPr>
            <w:r>
              <w:rPr>
                <w:rFonts w:ascii="Courier New" w:cs="Courier New" w:eastAsia="Courier New" w:hAnsi="Courier New"/>
                <w:sz w:val="18"/>
                <w:szCs w:val="18"/>
                <w:color w:val="auto"/>
              </w:rPr>
              <w:t>REPORTING</w:t>
            </w:r>
          </w:p>
        </w:tc>
        <w:tc>
          <w:tcPr>
            <w:tcW w:w="520" w:type="dxa"/>
            <w:vAlign w:val="bottom"/>
          </w:tcPr>
          <w:p>
            <w:pPr>
              <w:spacing w:after="0"/>
              <w:rPr>
                <w:sz w:val="24"/>
                <w:szCs w:val="24"/>
                <w:color w:val="auto"/>
              </w:rPr>
            </w:pP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3,500,000</w:t>
            </w:r>
          </w:p>
        </w:tc>
      </w:tr>
      <w:tr>
        <w:trPr>
          <w:trHeight w:val="203"/>
        </w:trPr>
        <w:tc>
          <w:tcPr>
            <w:tcW w:w="1440" w:type="dxa"/>
            <w:vAlign w:val="bottom"/>
          </w:tcPr>
          <w:p>
            <w:pPr>
              <w:spacing w:after="0"/>
              <w:rPr>
                <w:sz w:val="17"/>
                <w:szCs w:val="17"/>
                <w:color w:val="auto"/>
              </w:rPr>
            </w:pP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_________________________________________________________________</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8.</w:t>
            </w: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405"/>
        </w:trPr>
        <w:tc>
          <w:tcPr>
            <w:tcW w:w="1440" w:type="dxa"/>
            <w:vAlign w:val="bottom"/>
          </w:tcPr>
          <w:p>
            <w:pPr>
              <w:jc w:val="center"/>
              <w:ind w:right="72"/>
              <w:spacing w:after="0"/>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24"/>
                <w:szCs w:val="24"/>
                <w:color w:val="auto"/>
              </w:rPr>
            </w:pP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3,500,000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10.</w:t>
        <w:tab/>
        <w:t>CHECK BOX IF THE AGGREGATE AMOUNT IN ROW (9) EXCLUDES CERTAIN SHARES*</w:t>
      </w:r>
    </w:p>
    <w:p>
      <w:pPr>
        <w:spacing w:after="0" w:line="201" w:lineRule="exact"/>
        <w:rPr>
          <w:sz w:val="20"/>
          <w:szCs w:val="20"/>
          <w:color w:val="auto"/>
        </w:rPr>
      </w:pPr>
    </w:p>
    <w:p>
      <w:pPr>
        <w:ind w:left="7800"/>
        <w:spacing w:after="0"/>
        <w:rPr>
          <w:sz w:val="20"/>
          <w:szCs w:val="20"/>
          <w:color w:val="auto"/>
        </w:rPr>
      </w:pPr>
      <w:r>
        <w:rPr>
          <w:rFonts w:ascii="Courier New" w:cs="Courier New" w:eastAsia="Courier New" w:hAnsi="Courier New"/>
          <w:sz w:val="18"/>
          <w:szCs w:val="18"/>
          <w:color w:val="auto"/>
        </w:rPr>
        <w:t>[_]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1" w:lineRule="exact"/>
        <w:rPr>
          <w:sz w:val="20"/>
          <w:szCs w:val="20"/>
          <w:color w:val="auto"/>
        </w:rPr>
      </w:pPr>
    </w:p>
    <w:p>
      <w:pPr>
        <w:ind w:left="540" w:right="4739" w:hanging="532"/>
        <w:spacing w:after="0" w:line="470"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9.67%</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Investment Company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18"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142" w:right="1440" w:bottom="1440" w:gutter="0" w:footer="0" w:header="0"/>
        </w:sectPr>
      </w:pPr>
    </w:p>
    <w:bookmarkStart w:id="2" w:name="page3"/>
    <w:bookmarkEnd w:id="2"/>
    <w:p>
      <w:pPr>
        <w:spacing w:after="0"/>
        <w:tabs>
          <w:tab w:leader="none" w:pos="3780" w:val="left"/>
          <w:tab w:leader="none" w:pos="6420" w:val="left"/>
        </w:tabs>
        <w:rPr>
          <w:sz w:val="20"/>
          <w:szCs w:val="20"/>
          <w:color w:val="auto"/>
        </w:rPr>
      </w:pPr>
      <w:r>
        <w:rPr>
          <w:rFonts w:ascii="Courier New" w:cs="Courier New" w:eastAsia="Courier New" w:hAnsi="Courier New"/>
          <w:sz w:val="18"/>
          <w:szCs w:val="18"/>
          <w:color w:val="auto"/>
        </w:rPr>
        <w:t>CUSIP No.46120E107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6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Intuitive Surgical,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1340 W.Middlefield Road</w:t>
      </w:r>
    </w:p>
    <w:p>
      <w:pPr>
        <w:ind w:left="1280"/>
        <w:spacing w:after="0" w:line="238" w:lineRule="auto"/>
        <w:rPr>
          <w:sz w:val="20"/>
          <w:szCs w:val="20"/>
          <w:color w:val="auto"/>
        </w:rPr>
      </w:pPr>
      <w:r>
        <w:rPr>
          <w:rFonts w:ascii="Courier New" w:cs="Courier New" w:eastAsia="Courier New" w:hAnsi="Courier New"/>
          <w:sz w:val="18"/>
          <w:szCs w:val="18"/>
          <w:color w:val="auto"/>
        </w:rPr>
        <w:t>Mountain View, CA. 94043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Bear Stearns S&amp;P STARS Portfolio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383 Madison Avenue</w:t>
      </w:r>
    </w:p>
    <w:p>
      <w:pPr>
        <w:ind w:left="1280"/>
        <w:spacing w:after="0" w:line="238" w:lineRule="auto"/>
        <w:rPr>
          <w:sz w:val="20"/>
          <w:szCs w:val="20"/>
          <w:color w:val="auto"/>
        </w:rPr>
      </w:pPr>
      <w:r>
        <w:rPr>
          <w:rFonts w:ascii="Courier New" w:cs="Courier New" w:eastAsia="Courier New" w:hAnsi="Courier New"/>
          <w:sz w:val="18"/>
          <w:szCs w:val="18"/>
          <w:color w:val="auto"/>
        </w:rPr>
        <w:t>New York, N.Y. 10179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46120E107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ectPr>
          <w:pgSz w:w="11900" w:h="16838" w:orient="portrait"/>
          <w:cols w:equalWidth="0" w:num="1">
            <w:col w:w="10219"/>
          </w:cols>
          <w:pgMar w:left="240" w:top="919"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tabs>
          <w:tab w:leader="none" w:pos="1980" w:val="left"/>
          <w:tab w:leader="none" w:pos="3020" w:val="left"/>
          <w:tab w:leader="none" w:pos="4400" w:val="left"/>
        </w:tabs>
        <w:rPr>
          <w:sz w:val="20"/>
          <w:szCs w:val="20"/>
          <w:color w:val="auto"/>
        </w:rPr>
      </w:pPr>
      <w:r>
        <w:rPr>
          <w:rFonts w:ascii="Courier New" w:cs="Courier New" w:eastAsia="Courier New" w:hAnsi="Courier New"/>
          <w:sz w:val="18"/>
          <w:szCs w:val="18"/>
          <w:color w:val="auto"/>
        </w:rPr>
        <w:t>If This Statement</w:t>
        <w:tab/>
        <w:t>is Filed</w:t>
        <w:tab/>
        <w:t>Pursuant to</w:t>
      </w:r>
      <w:r>
        <w:rPr>
          <w:sz w:val="20"/>
          <w:szCs w:val="20"/>
          <w:color w:val="auto"/>
        </w:rPr>
        <w:tab/>
      </w:r>
      <w:r>
        <w:rPr>
          <w:rFonts w:ascii="Courier New" w:cs="Courier New" w:eastAsia="Courier New" w:hAnsi="Courier New"/>
          <w:sz w:val="16"/>
          <w:szCs w:val="16"/>
          <w:color w:val="auto"/>
        </w:rPr>
        <w:t>Rule 13d-1(b), or 13d-2(b)</w:t>
      </w:r>
    </w:p>
    <w:p>
      <w:pPr>
        <w:spacing w:after="0" w:line="238" w:lineRule="auto"/>
        <w:rPr>
          <w:sz w:val="20"/>
          <w:szCs w:val="20"/>
          <w:color w:val="auto"/>
        </w:rPr>
      </w:pPr>
      <w:r>
        <w:rPr>
          <w:rFonts w:ascii="Courier New" w:cs="Courier New" w:eastAsia="Courier New" w:hAnsi="Courier New"/>
          <w:sz w:val="18"/>
          <w:szCs w:val="18"/>
          <w:color w:val="auto"/>
        </w:rPr>
        <w:t>or (c), Check Whether the Person Filing is a:</w:t>
      </w:r>
    </w:p>
    <w:p>
      <w:pPr>
        <w:spacing w:after="0" w:line="200" w:lineRule="exact"/>
        <w:rPr>
          <w:sz w:val="20"/>
          <w:szCs w:val="20"/>
          <w:color w:val="auto"/>
        </w:rPr>
      </w:pPr>
    </w:p>
    <w:p>
      <w:pPr>
        <w:sectPr>
          <w:pgSz w:w="11900" w:h="16838" w:orient="portrait"/>
          <w:cols w:equalWidth="0" w:num="2">
            <w:col w:w="740" w:space="540"/>
            <w:col w:w="8939"/>
          </w:cols>
          <w:pgMar w:left="240" w:top="919" w:right="1440" w:bottom="1440" w:gutter="0" w:footer="0" w:header="0"/>
          <w:type w:val="continuous"/>
        </w:sectPr>
      </w:pPr>
    </w:p>
    <w:p>
      <w:pPr>
        <w:spacing w:after="0" w:line="7" w:lineRule="exact"/>
        <w:rPr>
          <w:sz w:val="20"/>
          <w:szCs w:val="20"/>
          <w:color w:val="auto"/>
        </w:rPr>
      </w:pPr>
    </w:p>
    <w:p>
      <w:pPr>
        <w:ind w:left="1060" w:hanging="525"/>
        <w:spacing w:after="0"/>
        <w:tabs>
          <w:tab w:leader="none" w:pos="10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Broker or dealer registered under Section 15 of the Exchange Act.</w:t>
      </w:r>
    </w:p>
    <w:p>
      <w:pPr>
        <w:spacing w:after="0" w:line="218" w:lineRule="exact"/>
        <w:rPr>
          <w:rFonts w:ascii="Courier New" w:cs="Courier New" w:eastAsia="Courier New" w:hAnsi="Courier New"/>
          <w:sz w:val="16"/>
          <w:szCs w:val="16"/>
          <w:color w:val="auto"/>
        </w:rPr>
      </w:pPr>
    </w:p>
    <w:p>
      <w:pPr>
        <w:ind w:left="1060" w:hanging="525"/>
        <w:spacing w:after="0"/>
        <w:tabs>
          <w:tab w:leader="none" w:pos="1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Exchange Act.</w:t>
      </w:r>
    </w:p>
    <w:p>
      <w:pPr>
        <w:spacing w:after="0" w:line="206" w:lineRule="exact"/>
        <w:rPr>
          <w:rFonts w:ascii="Courier New" w:cs="Courier New" w:eastAsia="Courier New" w:hAnsi="Courier New"/>
          <w:sz w:val="18"/>
          <w:szCs w:val="18"/>
          <w:color w:val="auto"/>
        </w:rPr>
      </w:pPr>
    </w:p>
    <w:p>
      <w:pPr>
        <w:ind w:left="1580" w:right="1779" w:hanging="1045"/>
        <w:spacing w:after="0" w:line="235" w:lineRule="auto"/>
        <w:tabs>
          <w:tab w:leader="none" w:pos="105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Exchange Act.</w:t>
      </w:r>
    </w:p>
    <w:p>
      <w:pPr>
        <w:spacing w:after="0" w:line="208" w:lineRule="exact"/>
        <w:rPr>
          <w:rFonts w:ascii="Courier New" w:cs="Courier New" w:eastAsia="Courier New" w:hAnsi="Courier New"/>
          <w:sz w:val="18"/>
          <w:szCs w:val="18"/>
          <w:color w:val="auto"/>
        </w:rPr>
      </w:pPr>
    </w:p>
    <w:p>
      <w:pPr>
        <w:ind w:left="1580" w:right="1779" w:hanging="1045"/>
        <w:spacing w:after="0" w:line="235" w:lineRule="auto"/>
        <w:tabs>
          <w:tab w:leader="none" w:pos="105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company registered under Section 8 of the Investment Company Act.</w:t>
      </w:r>
    </w:p>
    <w:p>
      <w:pPr>
        <w:spacing w:after="0" w:line="208"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An investment adviser in accordance with Rule 13d-1(b)(1)(ii)(E);</w:t>
      </w:r>
    </w:p>
    <w:p>
      <w:pPr>
        <w:sectPr>
          <w:pgSz w:w="11900" w:h="16838" w:orient="portrait"/>
          <w:cols w:equalWidth="0" w:num="1">
            <w:col w:w="10219"/>
          </w:cols>
          <w:pgMar w:left="240" w:top="919" w:right="1440" w:bottom="1440" w:gutter="0" w:footer="0" w:header="0"/>
          <w:type w:val="continuous"/>
        </w:sectPr>
      </w:pPr>
    </w:p>
    <w:bookmarkStart w:id="3" w:name="page4"/>
    <w:bookmarkEnd w:id="3"/>
    <w:p>
      <w:pPr>
        <w:ind w:left="1580" w:right="1779" w:hanging="1045"/>
        <w:spacing w:after="0" w:line="235" w:lineRule="auto"/>
        <w:tabs>
          <w:tab w:leader="none" w:pos="105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left="1580" w:right="1779" w:hanging="1045"/>
        <w:spacing w:after="0" w:line="235" w:lineRule="auto"/>
        <w:tabs>
          <w:tab w:leader="none" w:pos="105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parent holding company or control person in accordance with Rule 13d-1(b)(1)(ii)(G);</w:t>
      </w:r>
    </w:p>
    <w:p>
      <w:pPr>
        <w:spacing w:after="0" w:line="208" w:lineRule="exact"/>
        <w:rPr>
          <w:rFonts w:ascii="Courier New" w:cs="Courier New" w:eastAsia="Courier New" w:hAnsi="Courier New"/>
          <w:sz w:val="18"/>
          <w:szCs w:val="18"/>
          <w:color w:val="auto"/>
        </w:rPr>
      </w:pPr>
    </w:p>
    <w:p>
      <w:pPr>
        <w:ind w:left="1580" w:right="1779" w:hanging="1045"/>
        <w:spacing w:after="0" w:line="235" w:lineRule="auto"/>
        <w:tabs>
          <w:tab w:leader="none" w:pos="105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 as defined in Section 3(b) of the Federal Deposit Insurance Act;</w:t>
      </w:r>
    </w:p>
    <w:p>
      <w:pPr>
        <w:spacing w:after="0" w:line="208" w:lineRule="exact"/>
        <w:rPr>
          <w:rFonts w:ascii="Courier New" w:cs="Courier New" w:eastAsia="Courier New" w:hAnsi="Courier New"/>
          <w:sz w:val="18"/>
          <w:szCs w:val="18"/>
          <w:color w:val="auto"/>
        </w:rPr>
      </w:pPr>
    </w:p>
    <w:p>
      <w:pPr>
        <w:ind w:left="1580" w:right="1779" w:hanging="1045"/>
        <w:spacing w:after="0" w:line="236" w:lineRule="auto"/>
        <w:tabs>
          <w:tab w:leader="none" w:pos="105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church plan that is excluded from the definition of an investment company under Section 3(c)(14) of the Investment Company Act;</w:t>
      </w:r>
    </w:p>
    <w:p>
      <w:pPr>
        <w:spacing w:after="0" w:line="203"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Rule 13d-1(b)(1)(ii)(J).</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8" w:lineRule="exact"/>
        <w:rPr>
          <w:sz w:val="20"/>
          <w:szCs w:val="20"/>
          <w:color w:val="auto"/>
        </w:rPr>
      </w:pPr>
    </w:p>
    <w:p>
      <w:pPr>
        <w:ind w:left="1060" w:right="6419" w:hanging="525"/>
        <w:spacing w:after="0" w:line="235" w:lineRule="auto"/>
        <w:tabs>
          <w:tab w:leader="none" w:pos="10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3,500,000</w:t>
      </w:r>
    </w:p>
    <w:p>
      <w:pPr>
        <w:spacing w:after="0" w:line="202"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9.67%</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6" w:lineRule="exact"/>
        <w:rPr>
          <w:rFonts w:ascii="Courier New" w:cs="Courier New" w:eastAsia="Courier New" w:hAnsi="Courier New"/>
          <w:sz w:val="18"/>
          <w:szCs w:val="18"/>
          <w:color w:val="auto"/>
        </w:rPr>
      </w:pPr>
    </w:p>
    <w:p>
      <w:pPr>
        <w:ind w:left="1700" w:right="4199" w:hanging="639"/>
        <w:spacing w:after="0" w:line="235" w:lineRule="auto"/>
        <w:tabs>
          <w:tab w:leader="none" w:pos="17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3,500,000</w:t>
      </w:r>
    </w:p>
    <w:p>
      <w:pPr>
        <w:spacing w:after="0" w:line="208" w:lineRule="exact"/>
        <w:rPr>
          <w:rFonts w:ascii="Courier New" w:cs="Courier New" w:eastAsia="Courier New" w:hAnsi="Courier New"/>
          <w:sz w:val="18"/>
          <w:szCs w:val="18"/>
          <w:color w:val="auto"/>
        </w:rPr>
      </w:pPr>
    </w:p>
    <w:p>
      <w:pPr>
        <w:ind w:left="1700" w:right="3999" w:hanging="639"/>
        <w:spacing w:after="0" w:line="235" w:lineRule="auto"/>
        <w:tabs>
          <w:tab w:leader="none" w:pos="17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8" w:lineRule="exact"/>
        <w:rPr>
          <w:rFonts w:ascii="Courier New" w:cs="Courier New" w:eastAsia="Courier New" w:hAnsi="Courier New"/>
          <w:sz w:val="18"/>
          <w:szCs w:val="18"/>
          <w:color w:val="auto"/>
        </w:rPr>
      </w:pPr>
    </w:p>
    <w:p>
      <w:pPr>
        <w:ind w:left="1700" w:right="2839" w:hanging="639"/>
        <w:spacing w:after="0" w:line="235" w:lineRule="auto"/>
        <w:tabs>
          <w:tab w:leader="none" w:pos="17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3,500,000</w:t>
      </w:r>
    </w:p>
    <w:p>
      <w:pPr>
        <w:spacing w:after="0" w:line="208" w:lineRule="exact"/>
        <w:rPr>
          <w:rFonts w:ascii="Courier New" w:cs="Courier New" w:eastAsia="Courier New" w:hAnsi="Courier New"/>
          <w:sz w:val="18"/>
          <w:szCs w:val="18"/>
          <w:color w:val="auto"/>
        </w:rPr>
      </w:pPr>
    </w:p>
    <w:p>
      <w:pPr>
        <w:ind w:left="1700" w:right="2619" w:hanging="639"/>
        <w:spacing w:after="0" w:line="235" w:lineRule="auto"/>
        <w:tabs>
          <w:tab w:leader="none" w:pos="17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4" w:name="page5"/>
    <w:bookmarkEnd w:id="4"/>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S&amp;P Stars Portfolio has the right to receive and the power to direct the receipt of dividends from and the proceeds for the sale of greater than 5% of the common stock of DoubleClick, Inc. The S&amp;P Stars Portfolio is a separate portfolio of The Bear Stearns Funds, an open-end management investment company registered under the Investment Company Act of 1940</w:t>
      </w:r>
    </w:p>
    <w:p>
      <w:pPr>
        <w:spacing w:after="0" w:line="200" w:lineRule="exact"/>
        <w:rPr>
          <w:sz w:val="20"/>
          <w:szCs w:val="20"/>
          <w:color w:val="auto"/>
        </w:rPr>
      </w:pPr>
    </w:p>
    <w:p>
      <w:pPr>
        <w:spacing w:after="0" w:line="211" w:lineRule="exact"/>
        <w:rPr>
          <w:sz w:val="20"/>
          <w:szCs w:val="20"/>
          <w:color w:val="auto"/>
        </w:rPr>
      </w:pPr>
    </w:p>
    <w:p>
      <w:pPr>
        <w:jc w:val="both"/>
        <w:ind w:left="960" w:right="1779" w:hanging="947"/>
        <w:spacing w:after="0" w:line="236" w:lineRule="auto"/>
        <w:tabs>
          <w:tab w:leader="none" w:pos="9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 w:leader="none" w:pos="2620" w:val="left"/>
          <w:tab w:leader="none" w:pos="3140" w:val="left"/>
          <w:tab w:leader="none" w:pos="4840" w:val="left"/>
        </w:tabs>
        <w:rPr>
          <w:sz w:val="20"/>
          <w:szCs w:val="20"/>
          <w:color w:val="auto"/>
        </w:rPr>
      </w:pPr>
      <w:r>
        <w:rPr>
          <w:rFonts w:ascii="Courier New" w:cs="Courier New" w:eastAsia="Courier New" w:hAnsi="Courier New"/>
          <w:sz w:val="18"/>
          <w:szCs w:val="18"/>
          <w:color w:val="auto"/>
        </w:rPr>
        <w:t>Item 8.</w:t>
        <w:tab/>
        <w:t>Identification</w:t>
        <w:tab/>
        <w:t>and</w:t>
        <w:tab/>
        <w:t>Classification</w:t>
      </w:r>
      <w:r>
        <w:rPr>
          <w:sz w:val="20"/>
          <w:szCs w:val="20"/>
          <w:color w:val="auto"/>
        </w:rPr>
        <w:tab/>
      </w:r>
      <w:r>
        <w:rPr>
          <w:rFonts w:ascii="Courier New" w:cs="Courier New" w:eastAsia="Courier New" w:hAnsi="Courier New"/>
          <w:sz w:val="16"/>
          <w:szCs w:val="16"/>
          <w:color w:val="auto"/>
        </w:rPr>
        <w:t>of Members of the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Certifications.</w:t>
      </w:r>
    </w:p>
    <w:p>
      <w:pPr>
        <w:spacing w:after="0" w:line="207" w:lineRule="exact"/>
        <w:rPr>
          <w:sz w:val="20"/>
          <w:szCs w:val="20"/>
          <w:color w:val="auto"/>
        </w:rPr>
      </w:pPr>
    </w:p>
    <w:p>
      <w:pPr>
        <w:ind w:left="1060" w:right="1779" w:hanging="525"/>
        <w:spacing w:after="0" w:line="235" w:lineRule="auto"/>
        <w:tabs>
          <w:tab w:leader="none" w:pos="10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Rule 13d-1(b):</w:t>
      </w:r>
    </w:p>
    <w:p>
      <w:pPr>
        <w:spacing w:after="0" w:line="208" w:lineRule="exact"/>
        <w:rPr>
          <w:rFonts w:ascii="Courier New" w:cs="Courier New" w:eastAsia="Courier New" w:hAnsi="Courier New"/>
          <w:sz w:val="18"/>
          <w:szCs w:val="18"/>
          <w:color w:val="auto"/>
        </w:rPr>
      </w:pPr>
    </w:p>
    <w:p>
      <w:pPr>
        <w:jc w:val="both"/>
        <w:ind w:left="106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not held for the purpose of or with the effect of changing or influencing the control of the issuer of the securities and were not acquired and are not held in connection with or as a participant in any transaction having such purpose or effect."</w:t>
      </w: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1060" w:right="1779" w:hanging="525"/>
        <w:spacing w:after="0" w:line="235" w:lineRule="auto"/>
        <w:tabs>
          <w:tab w:leader="none" w:pos="10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Rule 13d-1(c):</w:t>
      </w:r>
    </w:p>
    <w:p>
      <w:pPr>
        <w:spacing w:after="0" w:line="208" w:lineRule="exact"/>
        <w:rPr>
          <w:rFonts w:ascii="Courier New" w:cs="Courier New" w:eastAsia="Courier New" w:hAnsi="Courier New"/>
          <w:sz w:val="18"/>
          <w:szCs w:val="18"/>
          <w:color w:val="auto"/>
        </w:rPr>
      </w:pPr>
    </w:p>
    <w:p>
      <w:pPr>
        <w:jc w:val="both"/>
        <w:ind w:left="106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such purpose or effect."</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17" w:right="1440" w:bottom="1440" w:gutter="0" w:footer="0" w:header="0"/>
        </w:sectPr>
      </w:pPr>
    </w:p>
    <w:bookmarkStart w:id="5" w:name="page6"/>
    <w:bookmarkEnd w:id="5"/>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February 8, 2002</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516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Joyce Messaris</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86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3"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Joyce Messaris - Paralegal</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960"/>
        <w:spacing w:after="0"/>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09"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Note. Schedules filed in paper format shall include a signed original and five copies of the schedule, including all exhibits. See Rule 13d-7 for other parties for whom copies are to be sent.</w:t>
      </w:r>
    </w:p>
    <w:p>
      <w:pPr>
        <w:spacing w:after="0" w:line="209"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lvl w:ilvl="1">
      <w:lvlJc w:val="left"/>
      <w:lvlText w:val="[%2]"/>
      <w:numFmt w:val="upperLetter"/>
      <w:start w:val="24"/>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3"/>
    </w:lvl>
  </w:abstractNum>
  <w:abstractNum w:abstractNumId="4">
    <w:nsid w:val="515F007C"/>
    <w:multiLevelType w:val="hybridMultilevel"/>
    <w:lvl w:ilvl="0">
      <w:lvlJc w:val="left"/>
      <w:lvlText w:val="%1."/>
      <w:numFmt w:val="decimal"/>
      <w:start w:val="4"/>
    </w:lvl>
  </w:abstractNum>
  <w:abstractNum w:abstractNumId="5">
    <w:nsid w:val="5BD062C2"/>
    <w:multiLevelType w:val="hybridMultilevel"/>
    <w:lvl w:ilvl="0">
      <w:lvlJc w:val="left"/>
      <w:lvlText w:val="%1."/>
      <w:numFmt w:val="decimal"/>
      <w:start w:val="9"/>
    </w:lvl>
  </w:abstractNum>
  <w:abstractNum w:abstractNumId="6">
    <w:nsid w:val="12200854"/>
    <w:multiLevelType w:val="hybridMultilevel"/>
    <w:lvl w:ilvl="0">
      <w:lvlJc w:val="left"/>
      <w:lvlText w:val="%1."/>
      <w:numFmt w:val="decimal"/>
      <w:start w:val="11"/>
    </w:lvl>
  </w:abstractNum>
  <w:abstractNum w:abstractNumId="7">
    <w:nsid w:val="4DB127F8"/>
    <w:multiLevelType w:val="hybridMultilevel"/>
    <w:lvl w:ilvl="0">
      <w:lvlJc w:val="left"/>
      <w:lvlText w:val="%1."/>
      <w:numFmt w:val="decimal"/>
      <w:start w:val="12"/>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6"/>
    </w:lvl>
  </w:abstractNum>
  <w:abstractNum w:abstractNumId="10">
    <w:nsid w:val="1190CDE7"/>
    <w:multiLevelType w:val="hybridMultilevel"/>
    <w:lvl w:ilvl="0">
      <w:lvlJc w:val="left"/>
      <w:lvlText w:val="(%1)"/>
      <w:numFmt w:val="lowerLetter"/>
      <w:start w:val="1"/>
    </w:lvl>
    <w:lvl w:ilvl="1">
      <w:lvlJc w:val="left"/>
      <w:lvlText w:val="(%2)"/>
      <w:numFmt w:val="lowerRoman"/>
      <w:start w:val="1"/>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2019-12-14T15:29:36Z</dcterms:created>
  <dcterms:modified xsi:type="dcterms:W3CDTF">2019-12-14T15:29:36Z</dcterms:modified>
</cp:coreProperties>
</file>