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Times New Roman;serif" w:hAnsi="Times New Roman;serif"/>
          <w:b/>
          <w:color w:val="000000"/>
          <w:sz w:val="36"/>
        </w:rPr>
        <w:t>FORM 8-K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INTUITIVE SURGICAL,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1020 Kifer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Sunnyvale, California 94086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523-2100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4" w:type="dxa"/>
        <w:jc w:val="center"/>
        <w:tblInd w:w="0" w:type="dxa"/>
        <w:tblLayout w:type="fixed"/>
        <w:tblCellMar>
          <w:top w:w="28" w:type="dxa"/>
          <w:left w:w="28" w:type="dxa"/>
          <w:bottom w:w="28" w:type="dxa"/>
          <w:right w:w="28" w:type="dxa"/>
        </w:tblCellMar>
      </w:tblPr>
      <w:tblGrid>
        <w:gridCol w:w="1305"/>
        <w:gridCol w:w="1145"/>
        <w:gridCol w:w="1150"/>
        <w:gridCol w:w="109"/>
        <w:gridCol w:w="109"/>
        <w:gridCol w:w="109"/>
        <w:gridCol w:w="484"/>
        <w:gridCol w:w="484"/>
        <w:gridCol w:w="486"/>
        <w:gridCol w:w="109"/>
        <w:gridCol w:w="109"/>
        <w:gridCol w:w="109"/>
        <w:gridCol w:w="971"/>
        <w:gridCol w:w="971"/>
        <w:gridCol w:w="1374"/>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ISRG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pPr>
      <w:r>
        <w:rPr>
          <w:rFonts w:ascii="Times New Roman;serif" w:hAnsi="Times New Roman;serif"/>
          <w:b w:val="false"/>
          <w:color w:val="000000"/>
          <w:sz w:val="20"/>
        </w:rPr>
        <w:t xml:space="preserve">Emerging growth company </w:t>
      </w:r>
      <w:r>
        <w:rPr>
          <w:color w:val="000000"/>
        </w:rPr>
        <w:t>☐  </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499" w:type="dxa"/>
        <w:jc w:val="left"/>
        <w:tblInd w:w="0" w:type="dxa"/>
        <w:tblLayout w:type="fixed"/>
        <w:tblCellMar>
          <w:top w:w="28" w:type="dxa"/>
          <w:left w:w="28" w:type="dxa"/>
          <w:bottom w:w="28" w:type="dxa"/>
          <w:right w:w="28" w:type="dxa"/>
        </w:tblCellMar>
      </w:tblPr>
      <w:tblGrid>
        <w:gridCol w:w="348"/>
        <w:gridCol w:w="305"/>
        <w:gridCol w:w="307"/>
        <w:gridCol w:w="1916"/>
        <w:gridCol w:w="1916"/>
        <w:gridCol w:w="2707"/>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5.03.</w:t>
            </w:r>
          </w:p>
        </w:tc>
        <w:tc>
          <w:tcPr>
            <w:tcW w:w="6539"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Amendments to Articles of Incorporation or Bylaws; Change in Fiscal Year.</w:t>
            </w:r>
          </w:p>
        </w:tc>
      </w:tr>
    </w:tbl>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23, 2026, the Board of Directors of Intuitive Surgical, Inc. (the “Company”) amended and restated the Company’s Amended and Restated Bylaws (as so amended and restated, the “Amended Bylaws”) to, among other things:</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i.allow the Company to disregard votes for any nominee made by a shareholder that do not comply with the universal proxy rules adopted by the U.S. Securities and Exchange Commission (“SEC”), including the requirement for shareholder proponents to solicit holders of 67% of outstanding shares;</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ii.clarify and enhance disclosures in connection with shareholder nominations of directors and submissions of proposals regarding other business at shareholder meetings, including by (a) refining disclosures of synthetic equity to utilize SEC-defined terms, (b) adding disclosures about the dates and intent of the shareholder’s investment, and (c) requiring the language of any bylaw amendments and information otherwise in the proxy statement;</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iii.clarify and enhance procedural mechanics and disclosure requirements in connection with shareholder nominations of directors and submissions of proposals regarding other business at shareholder meetings, including by (a) prohibiting nomination of more candidates than the number of directors up for election at the applicable meeting, (b) requiring that a shareholder be a record holder to request the required questionnaires for a nominee to complete, and (c) requiring the shareholder be present in person at the shareholder meeting;</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iv.require that any shareholder directly or indirectly soliciting proxies from other shareholders use a proxy card color other than white;</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v.provide logistics for shareholders to request a record date to determine who can call a special meeting of shareholders and require disclosures from the requesting shareholder similar to those for submitting nominations and proposals at an annual meeting of shareholders;</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vi.change the voting standard for corporate actions (other than elections) to a majority of votes cast (excluding abstentions and broker non-votes);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vii.make certain other technical amendments to conform to applicable law.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Bylaws does not purport to be complete and is qualified in its entirety by reference to the full text of the Amended Bylaws filed as Exhibit 3.1 hereto,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5" w:type="dxa"/>
        <w:jc w:val="left"/>
        <w:tblInd w:w="0" w:type="dxa"/>
        <w:tblLayout w:type="fixed"/>
        <w:tblCellMar>
          <w:top w:w="28" w:type="dxa"/>
          <w:left w:w="28" w:type="dxa"/>
          <w:bottom w:w="28" w:type="dxa"/>
          <w:right w:w="28" w:type="dxa"/>
        </w:tblCellMar>
      </w:tblPr>
      <w:tblGrid>
        <w:gridCol w:w="348"/>
        <w:gridCol w:w="305"/>
        <w:gridCol w:w="307"/>
        <w:gridCol w:w="901"/>
        <w:gridCol w:w="901"/>
        <w:gridCol w:w="1273"/>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8" w:type="dxa"/>
        <w:jc w:val="left"/>
        <w:tblInd w:w="0" w:type="dxa"/>
        <w:tblLayout w:type="fixed"/>
        <w:tblCellMar>
          <w:top w:w="28" w:type="dxa"/>
          <w:left w:w="28" w:type="dxa"/>
          <w:bottom w:w="28" w:type="dxa"/>
          <w:right w:w="28" w:type="dxa"/>
        </w:tblCellMar>
      </w:tblPr>
      <w:tblGrid>
        <w:gridCol w:w="391"/>
        <w:gridCol w:w="344"/>
        <w:gridCol w:w="346"/>
        <w:gridCol w:w="109"/>
        <w:gridCol w:w="2183"/>
        <w:gridCol w:w="2183"/>
        <w:gridCol w:w="218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xamendedandrestatedby.htm">
              <w:r>
                <w:rPr>
                  <w:rStyle w:val="InternetLink"/>
                  <w:rFonts w:ascii="Times New Roman;serif" w:hAnsi="Times New Roman;serif"/>
                  <w:b w:val="false"/>
                  <w:color w:val="0000FF"/>
                  <w:sz w:val="20"/>
                  <w:u w:val="single"/>
                </w:rPr>
                <w:t>Amended and Restated Bylaws of Intuitive Surgical,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8290" w:type="dxa"/>
        <w:jc w:val="left"/>
        <w:tblInd w:w="0" w:type="dxa"/>
        <w:tblLayout w:type="fixed"/>
        <w:tblCellMar>
          <w:top w:w="28" w:type="dxa"/>
          <w:left w:w="28" w:type="dxa"/>
          <w:bottom w:w="28" w:type="dxa"/>
          <w:right w:w="28" w:type="dxa"/>
        </w:tblCellMar>
      </w:tblPr>
      <w:tblGrid>
        <w:gridCol w:w="124"/>
        <w:gridCol w:w="564"/>
        <w:gridCol w:w="564"/>
        <w:gridCol w:w="567"/>
        <w:gridCol w:w="109"/>
        <w:gridCol w:w="109"/>
        <w:gridCol w:w="109"/>
        <w:gridCol w:w="419"/>
        <w:gridCol w:w="419"/>
        <w:gridCol w:w="419"/>
        <w:gridCol w:w="1400"/>
        <w:gridCol w:w="1400"/>
        <w:gridCol w:w="1411"/>
        <w:gridCol w:w="198"/>
        <w:gridCol w:w="198"/>
        <w:gridCol w:w="280"/>
      </w:tblGrid>
      <w:tr>
        <w:trPr/>
        <w:tc>
          <w:tcPr>
            <w:tcW w:w="1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JAMIE E. SAMATH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Name:</w:t>
            </w:r>
            <w:r>
              <w:rPr>
                <w:color w:val="000000"/>
              </w:rPr>
              <w:t> </w:t>
            </w:r>
            <w:r>
              <w:rPr>
                <w:rFonts w:ascii="Times New Roman;serif" w:hAnsi="Times New Roman;serif"/>
                <w:b w:val="false"/>
                <w:color w:val="000000"/>
                <w:sz w:val="20"/>
              </w:rPr>
              <w:t>Jamie E. Samath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6"/>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i/>
                <w:color w:val="000000"/>
                <w:sz w:val="20"/>
              </w:rPr>
              <w:t xml:space="preserve">Title: </w:t>
            </w:r>
            <w:r>
              <w:rPr>
                <w:rFonts w:ascii="Times New Roman;serif" w:hAnsi="Times New Roman;serif"/>
                <w:b w:val="false"/>
                <w:color w:val="000000"/>
                <w:sz w:val="20"/>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AMENDED AND RESTATED BYLAWS</w:t>
        <w:br/>
        <w:t>OF</w:t>
        <w:br/>
        <w:t>INTUITIVE SURGICAL, INC.</w:t>
        <w:br/>
        <w:t>(A DELAWARE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Page</w:t>
      </w:r>
    </w:p>
    <w:tbl>
      <w:tblPr>
        <w:tblW w:w="10001" w:type="dxa"/>
        <w:jc w:val="left"/>
        <w:tblInd w:w="0" w:type="dxa"/>
        <w:tblLayout w:type="fixed"/>
        <w:tblCellMar>
          <w:top w:w="28" w:type="dxa"/>
          <w:left w:w="28" w:type="dxa"/>
          <w:bottom w:w="28" w:type="dxa"/>
          <w:right w:w="28" w:type="dxa"/>
        </w:tblCellMar>
      </w:tblPr>
      <w:tblGrid>
        <w:gridCol w:w="3499"/>
        <w:gridCol w:w="3065"/>
        <w:gridCol w:w="3065"/>
        <w:gridCol w:w="109"/>
        <w:gridCol w:w="109"/>
        <w:gridCol w:w="154"/>
      </w:tblGrid>
      <w:tr>
        <w:trPr/>
        <w:tc>
          <w:tcPr>
            <w:tcW w:w="3499"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64c9efd033a4e66970e8bec87fb291a">
              <w:r>
                <w:rPr>
                  <w:rStyle w:val="InternetLink"/>
                  <w:rFonts w:ascii="Times New Roman;serif" w:hAnsi="Times New Roman;serif"/>
                  <w:b w:val="false"/>
                  <w:strike w:val="false"/>
                  <w:dstrike w:val="false"/>
                  <w:color w:val="000000"/>
                  <w:sz w:val="20"/>
                  <w:u w:val="none"/>
                  <w:effect w:val="none"/>
                </w:rPr>
                <w:t>ARTICLE I</w:t>
                <w:br/>
                <w:t>OFFICES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c9efd033a4e66970e8bec87fb291a">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6cf4400b4d5040a8aad95e3ebbb7ff08">
              <w:r>
                <w:rPr>
                  <w:rStyle w:val="InternetLink"/>
                  <w:rFonts w:ascii="Times New Roman;serif" w:hAnsi="Times New Roman;serif"/>
                  <w:b w:val="false"/>
                  <w:strike w:val="false"/>
                  <w:dstrike w:val="false"/>
                  <w:color w:val="000000"/>
                  <w:sz w:val="20"/>
                  <w:u w:val="none"/>
                  <w:effect w:val="none"/>
                </w:rPr>
                <w:t>Section 1.    Registered Office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f4400b4d5040a8aad95e3ebbb7ff08">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78e4a0f74fb41428fe2d5af53315269">
              <w:r>
                <w:rPr>
                  <w:rStyle w:val="InternetLink"/>
                  <w:rFonts w:ascii="Times New Roman;serif" w:hAnsi="Times New Roman;serif"/>
                  <w:b w:val="false"/>
                  <w:strike w:val="false"/>
                  <w:dstrike w:val="false"/>
                  <w:color w:val="000000"/>
                  <w:sz w:val="20"/>
                  <w:u w:val="none"/>
                  <w:effect w:val="none"/>
                </w:rPr>
                <w:t>Section 2.    Other Offices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8e4a0f74fb41428fe2d5af53315269">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924029e0d1d49469d9fa54f9e04e979">
              <w:r>
                <w:rPr>
                  <w:rStyle w:val="InternetLink"/>
                  <w:rFonts w:ascii="Times New Roman;serif" w:hAnsi="Times New Roman;serif"/>
                  <w:b w:val="false"/>
                  <w:strike w:val="false"/>
                  <w:dstrike w:val="false"/>
                  <w:color w:val="000000"/>
                  <w:sz w:val="20"/>
                  <w:u w:val="none"/>
                  <w:effect w:val="none"/>
                </w:rPr>
                <w:t>ARTICLE II</w:t>
                <w:br/>
                <w:t>CORPORATE SEAL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4029e0d1d49469d9fa54f9e04e979">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f4a43a2d746467da7f01e06afa0fc2a">
              <w:r>
                <w:rPr>
                  <w:rStyle w:val="InternetLink"/>
                  <w:rFonts w:ascii="Times New Roman;serif" w:hAnsi="Times New Roman;serif"/>
                  <w:b w:val="false"/>
                  <w:strike w:val="false"/>
                  <w:dstrike w:val="false"/>
                  <w:color w:val="000000"/>
                  <w:sz w:val="20"/>
                  <w:u w:val="none"/>
                  <w:effect w:val="none"/>
                </w:rPr>
                <w:t>Section 3.    Corporate Seal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4a43a2d746467da7f01e06afa0fc2a">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f1116b73f1f425888e0c17c52562e4c">
              <w:r>
                <w:rPr>
                  <w:rStyle w:val="InternetLink"/>
                  <w:rFonts w:ascii="Times New Roman;serif" w:hAnsi="Times New Roman;serif"/>
                  <w:b w:val="false"/>
                  <w:strike w:val="false"/>
                  <w:dstrike w:val="false"/>
                  <w:color w:val="000000"/>
                  <w:sz w:val="20"/>
                  <w:u w:val="none"/>
                  <w:effect w:val="none"/>
                </w:rPr>
                <w:t>ARTICLE III</w:t>
                <w:br/>
                <w:t>STOCKHOLDERS’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1116b73f1f425888e0c17c52562e4c">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92f8f539650e482e91ee52c44953498e">
              <w:r>
                <w:rPr>
                  <w:rStyle w:val="InternetLink"/>
                  <w:rFonts w:ascii="Times New Roman;serif" w:hAnsi="Times New Roman;serif"/>
                  <w:b w:val="false"/>
                  <w:strike w:val="false"/>
                  <w:dstrike w:val="false"/>
                  <w:color w:val="000000"/>
                  <w:sz w:val="20"/>
                  <w:u w:val="none"/>
                  <w:effect w:val="none"/>
                </w:rPr>
                <w:t>Section 4.    Place of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f8f539650e482e91ee52c44953498e">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40e85a5cbbd444f4850be64a3d805878">
              <w:r>
                <w:rPr>
                  <w:rStyle w:val="InternetLink"/>
                  <w:rFonts w:ascii="Times New Roman;serif" w:hAnsi="Times New Roman;serif"/>
                  <w:b w:val="false"/>
                  <w:strike w:val="false"/>
                  <w:dstrike w:val="false"/>
                  <w:color w:val="000000"/>
                  <w:sz w:val="20"/>
                  <w:u w:val="none"/>
                  <w:effect w:val="none"/>
                </w:rPr>
                <w:t>Section 5.    Annual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e85a5cbbd444f4850be64a3d805878">
              <w:r>
                <w:rPr>
                  <w:rStyle w:val="InternetLink"/>
                  <w:rFonts w:ascii="Times New Roman;serif" w:hAnsi="Times New Roman;serif"/>
                  <w:b w:val="false"/>
                  <w:strike w:val="false"/>
                  <w:dstrike w:val="false"/>
                  <w:color w:val="000000"/>
                  <w:sz w:val="20"/>
                  <w:u w:val="none"/>
                  <w:effect w:val="none"/>
                </w:rPr>
                <w:t>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8425cbf097f14eec8df01762936967aa">
              <w:r>
                <w:rPr>
                  <w:rStyle w:val="InternetLink"/>
                  <w:rFonts w:ascii="Times New Roman;serif" w:hAnsi="Times New Roman;serif"/>
                  <w:b w:val="false"/>
                  <w:strike w:val="false"/>
                  <w:dstrike w:val="false"/>
                  <w:color w:val="000000"/>
                  <w:sz w:val="20"/>
                  <w:u w:val="none"/>
                  <w:effect w:val="none"/>
                </w:rPr>
                <w:t>Section 6.    Special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25cbf097f14eec8df01762936967aa">
              <w:r>
                <w:rPr>
                  <w:rStyle w:val="InternetLink"/>
                  <w:rFonts w:ascii="Times New Roman;serif" w:hAnsi="Times New Roman;serif"/>
                  <w:b w:val="false"/>
                  <w:strike w:val="false"/>
                  <w:dstrike w:val="false"/>
                  <w:color w:val="000000"/>
                  <w:sz w:val="20"/>
                  <w:u w:val="none"/>
                  <w:effect w:val="none"/>
                </w:rPr>
                <w:t>16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083ea8898d24dcfbda5fb0170d8ebe4">
              <w:r>
                <w:rPr>
                  <w:rStyle w:val="InternetLink"/>
                  <w:rFonts w:ascii="Times New Roman;serif" w:hAnsi="Times New Roman;serif"/>
                  <w:b w:val="false"/>
                  <w:strike w:val="false"/>
                  <w:dstrike w:val="false"/>
                  <w:color w:val="000000"/>
                  <w:sz w:val="20"/>
                  <w:u w:val="none"/>
                  <w:effect w:val="none"/>
                </w:rPr>
                <w:t>Section 7.    Notice of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83ea8898d24dcfbda5fb0170d8ebe4">
              <w:r>
                <w:rPr>
                  <w:rStyle w:val="InternetLink"/>
                  <w:rFonts w:ascii="Times New Roman;serif" w:hAnsi="Times New Roman;serif"/>
                  <w:b w:val="false"/>
                  <w:strike w:val="false"/>
                  <w:dstrike w:val="false"/>
                  <w:color w:val="000000"/>
                  <w:sz w:val="20"/>
                  <w:u w:val="none"/>
                  <w:effect w:val="none"/>
                </w:rPr>
                <w:t>19</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c85e63fa01b043819485dd2cbf57544c">
              <w:r>
                <w:rPr>
                  <w:rStyle w:val="InternetLink"/>
                  <w:rFonts w:ascii="Times New Roman;serif" w:hAnsi="Times New Roman;serif"/>
                  <w:b w:val="false"/>
                  <w:strike w:val="false"/>
                  <w:dstrike w:val="false"/>
                  <w:color w:val="000000"/>
                  <w:sz w:val="20"/>
                  <w:u w:val="none"/>
                  <w:effect w:val="none"/>
                </w:rPr>
                <w:t>Section 8.    Quorum and Voting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5e63fa01b043819485dd2cbf57544c">
              <w:r>
                <w:rPr>
                  <w:rStyle w:val="InternetLink"/>
                  <w:rFonts w:ascii="Times New Roman;serif" w:hAnsi="Times New Roman;serif"/>
                  <w:b w:val="false"/>
                  <w:strike w:val="false"/>
                  <w:dstrike w:val="false"/>
                  <w:color w:val="000000"/>
                  <w:sz w:val="20"/>
                  <w:u w:val="none"/>
                  <w:effect w:val="none"/>
                </w:rPr>
                <w:t>19</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7dcf4bba054497aa09bcbe0057dc7af">
              <w:r>
                <w:rPr>
                  <w:rStyle w:val="InternetLink"/>
                  <w:rFonts w:ascii="Times New Roman;serif" w:hAnsi="Times New Roman;serif"/>
                  <w:b w:val="false"/>
                  <w:strike w:val="false"/>
                  <w:dstrike w:val="false"/>
                  <w:color w:val="000000"/>
                  <w:sz w:val="20"/>
                  <w:u w:val="none"/>
                  <w:effect w:val="none"/>
                </w:rPr>
                <w:t>Section 9.    Adjournment and Notice of Adjourned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7dcf4bba054497aa09bcbe0057dc7af">
              <w:r>
                <w:rPr>
                  <w:rStyle w:val="InternetLink"/>
                  <w:rFonts w:ascii="Times New Roman;serif" w:hAnsi="Times New Roman;serif"/>
                  <w:b w:val="false"/>
                  <w:strike w:val="false"/>
                  <w:dstrike w:val="false"/>
                  <w:color w:val="000000"/>
                  <w:sz w:val="20"/>
                  <w:u w:val="none"/>
                  <w:effect w:val="none"/>
                </w:rPr>
                <w:t>20</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0e6835bd61da406cbf5fe131f77b4f5b">
              <w:r>
                <w:rPr>
                  <w:rStyle w:val="InternetLink"/>
                  <w:rFonts w:ascii="Times New Roman;serif" w:hAnsi="Times New Roman;serif"/>
                  <w:b w:val="false"/>
                  <w:strike w:val="false"/>
                  <w:dstrike w:val="false"/>
                  <w:color w:val="000000"/>
                  <w:sz w:val="20"/>
                  <w:u w:val="none"/>
                  <w:effect w:val="none"/>
                </w:rPr>
                <w:t>Section 10.    Voting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6835bd61da406cbf5fe131f77b4f5b">
              <w:r>
                <w:rPr>
                  <w:rStyle w:val="InternetLink"/>
                  <w:rFonts w:ascii="Times New Roman;serif" w:hAnsi="Times New Roman;serif"/>
                  <w:b w:val="false"/>
                  <w:strike w:val="false"/>
                  <w:dstrike w:val="false"/>
                  <w:color w:val="000000"/>
                  <w:sz w:val="20"/>
                  <w:u w:val="none"/>
                  <w:effect w:val="none"/>
                </w:rPr>
                <w:t>20</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d42b9ee3c5d4cdbb0d2df9b141fa182">
              <w:r>
                <w:rPr>
                  <w:rStyle w:val="InternetLink"/>
                  <w:rFonts w:ascii="Times New Roman;serif" w:hAnsi="Times New Roman;serif"/>
                  <w:b w:val="false"/>
                  <w:strike w:val="false"/>
                  <w:dstrike w:val="false"/>
                  <w:color w:val="000000"/>
                  <w:sz w:val="20"/>
                  <w:u w:val="none"/>
                  <w:effect w:val="none"/>
                </w:rPr>
                <w:t>Section 11.    Joint Owners of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42b9ee3c5d4cdbb0d2df9b141fa182">
              <w:r>
                <w:rPr>
                  <w:rStyle w:val="InternetLink"/>
                  <w:rFonts w:ascii="Times New Roman;serif" w:hAnsi="Times New Roman;serif"/>
                  <w:b w:val="false"/>
                  <w:strike w:val="false"/>
                  <w:dstrike w:val="false"/>
                  <w:color w:val="000000"/>
                  <w:sz w:val="20"/>
                  <w:u w:val="none"/>
                  <w:effect w:val="none"/>
                </w:rPr>
                <w:t>21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d4f62b046b34a888fe471b8cbfeeadf">
              <w:r>
                <w:rPr>
                  <w:rStyle w:val="InternetLink"/>
                  <w:rFonts w:ascii="Times New Roman;serif" w:hAnsi="Times New Roman;serif"/>
                  <w:b w:val="false"/>
                  <w:strike w:val="false"/>
                  <w:dstrike w:val="false"/>
                  <w:color w:val="000000"/>
                  <w:sz w:val="20"/>
                  <w:u w:val="none"/>
                  <w:effect w:val="none"/>
                </w:rPr>
                <w:t>Section 12.    List of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4f62b046b34a888fe471b8cbfeeadf">
              <w:r>
                <w:rPr>
                  <w:rStyle w:val="InternetLink"/>
                  <w:rFonts w:ascii="Times New Roman;serif" w:hAnsi="Times New Roman;serif"/>
                  <w:b w:val="false"/>
                  <w:strike w:val="false"/>
                  <w:dstrike w:val="false"/>
                  <w:color w:val="000000"/>
                  <w:sz w:val="20"/>
                  <w:u w:val="none"/>
                  <w:effect w:val="none"/>
                </w:rPr>
                <w:t>21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aad06f94732a4d1fa4b6210a5fe0c22e">
              <w:r>
                <w:rPr>
                  <w:rStyle w:val="InternetLink"/>
                  <w:rFonts w:ascii="Times New Roman;serif" w:hAnsi="Times New Roman;serif"/>
                  <w:b w:val="false"/>
                  <w:strike w:val="false"/>
                  <w:dstrike w:val="false"/>
                  <w:color w:val="000000"/>
                  <w:sz w:val="20"/>
                  <w:u w:val="none"/>
                  <w:effect w:val="none"/>
                </w:rPr>
                <w:t>Section 13.    Action By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d06f94732a4d1fa4b6210a5fe0c22e">
              <w:r>
                <w:rPr>
                  <w:rStyle w:val="InternetLink"/>
                  <w:rFonts w:ascii="Times New Roman;serif" w:hAnsi="Times New Roman;serif"/>
                  <w:b w:val="false"/>
                  <w:strike w:val="false"/>
                  <w:dstrike w:val="false"/>
                  <w:color w:val="000000"/>
                  <w:sz w:val="20"/>
                  <w:u w:val="none"/>
                  <w:effect w:val="none"/>
                </w:rPr>
                <w:t>21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e33360b724547cb8b9b63b11e1e2536">
              <w:r>
                <w:rPr>
                  <w:rStyle w:val="InternetLink"/>
                  <w:rFonts w:ascii="Times New Roman;serif" w:hAnsi="Times New Roman;serif"/>
                  <w:b w:val="false"/>
                  <w:strike w:val="false"/>
                  <w:dstrike w:val="false"/>
                  <w:color w:val="000000"/>
                  <w:sz w:val="20"/>
                  <w:u w:val="none"/>
                  <w:effect w:val="none"/>
                </w:rPr>
                <w:t>Section 14.    Organization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33360b724547cb8b9b63b11e1e2536">
              <w:r>
                <w:rPr>
                  <w:rStyle w:val="InternetLink"/>
                  <w:rFonts w:ascii="Times New Roman;serif" w:hAnsi="Times New Roman;serif"/>
                  <w:b w:val="false"/>
                  <w:strike w:val="false"/>
                  <w:dstrike w:val="false"/>
                  <w:color w:val="000000"/>
                  <w:sz w:val="20"/>
                  <w:u w:val="none"/>
                  <w:effect w:val="none"/>
                </w:rPr>
                <w:t>21</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4adcb866f26e4a3abd8d8f710e50bdb9">
              <w:r>
                <w:rPr>
                  <w:rStyle w:val="InternetLink"/>
                  <w:rFonts w:ascii="Times New Roman;serif" w:hAnsi="Times New Roman;serif"/>
                  <w:b w:val="false"/>
                  <w:strike w:val="false"/>
                  <w:dstrike w:val="false"/>
                  <w:color w:val="000000"/>
                  <w:sz w:val="20"/>
                  <w:u w:val="none"/>
                  <w:effect w:val="none"/>
                </w:rPr>
                <w:t>Section 15.    Inspectors of Election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dcb866f26e4a3abd8d8f710e50bdb9">
              <w:r>
                <w:rPr>
                  <w:rStyle w:val="InternetLink"/>
                  <w:rFonts w:ascii="Times New Roman;serif" w:hAnsi="Times New Roman;serif"/>
                  <w:b w:val="false"/>
                  <w:strike w:val="false"/>
                  <w:dstrike w:val="false"/>
                  <w:color w:val="000000"/>
                  <w:sz w:val="20"/>
                  <w:u w:val="none"/>
                  <w:effect w:val="none"/>
                </w:rPr>
                <w:t>22</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a9663eb2acff4a40ba394f2f94c2fdbd">
              <w:r>
                <w:rPr>
                  <w:rStyle w:val="InternetLink"/>
                  <w:rFonts w:ascii="Times New Roman;serif" w:hAnsi="Times New Roman;serif"/>
                  <w:b w:val="false"/>
                  <w:strike w:val="false"/>
                  <w:dstrike w:val="false"/>
                  <w:color w:val="000000"/>
                  <w:sz w:val="20"/>
                  <w:u w:val="none"/>
                  <w:effect w:val="none"/>
                </w:rPr>
                <w:t>Section 16.    Delivery to the Corporation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663eb2acff4a40ba394f2f94c2fdbd">
              <w:r>
                <w:rPr>
                  <w:rStyle w:val="InternetLink"/>
                  <w:rFonts w:ascii="Times New Roman;serif" w:hAnsi="Times New Roman;serif"/>
                  <w:b w:val="false"/>
                  <w:strike w:val="false"/>
                  <w:dstrike w:val="false"/>
                  <w:color w:val="000000"/>
                  <w:sz w:val="20"/>
                  <w:u w:val="none"/>
                  <w:effect w:val="none"/>
                </w:rPr>
                <w:t>22</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eee2e3590e64ccf983d327bcabd5d62">
              <w:r>
                <w:rPr>
                  <w:rStyle w:val="InternetLink"/>
                  <w:rFonts w:ascii="Times New Roman;serif" w:hAnsi="Times New Roman;serif"/>
                  <w:b w:val="false"/>
                  <w:strike w:val="false"/>
                  <w:dstrike w:val="false"/>
                  <w:color w:val="000000"/>
                  <w:sz w:val="20"/>
                  <w:u w:val="none"/>
                  <w:effect w:val="none"/>
                </w:rPr>
                <w:t>ARTICLE IV</w:t>
                <w:br/>
                <w:t>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e2e3590e64ccf983d327bcabd5d62">
              <w:r>
                <w:rPr>
                  <w:rStyle w:val="InternetLink"/>
                  <w:rFonts w:ascii="Times New Roman;serif" w:hAnsi="Times New Roman;serif"/>
                  <w:b w:val="false"/>
                  <w:strike w:val="false"/>
                  <w:dstrike w:val="false"/>
                  <w:color w:val="000000"/>
                  <w:sz w:val="20"/>
                  <w:u w:val="none"/>
                  <w:effect w:val="none"/>
                </w:rPr>
                <w:t>22</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db9b015fcf34ec7aa19027b74e191c8">
              <w:r>
                <w:rPr>
                  <w:rStyle w:val="InternetLink"/>
                  <w:rFonts w:ascii="Times New Roman;serif" w:hAnsi="Times New Roman;serif"/>
                  <w:b w:val="false"/>
                  <w:strike w:val="false"/>
                  <w:dstrike w:val="false"/>
                  <w:color w:val="000000"/>
                  <w:sz w:val="20"/>
                  <w:u w:val="none"/>
                  <w:effect w:val="none"/>
                </w:rPr>
                <w:t>Section 17.    Number and Eligibility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b9b015fcf34ec7aa19027b74e191c8">
              <w:r>
                <w:rPr>
                  <w:rStyle w:val="InternetLink"/>
                  <w:rFonts w:ascii="Times New Roman;serif" w:hAnsi="Times New Roman;serif"/>
                  <w:b w:val="false"/>
                  <w:strike w:val="false"/>
                  <w:dstrike w:val="false"/>
                  <w:color w:val="000000"/>
                  <w:sz w:val="20"/>
                  <w:u w:val="none"/>
                  <w:effect w:val="none"/>
                </w:rPr>
                <w:t>22</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ad353fc68b2d4af39480c02ecb9ebdf1">
              <w:r>
                <w:rPr>
                  <w:rStyle w:val="InternetLink"/>
                  <w:rFonts w:ascii="Times New Roman;serif" w:hAnsi="Times New Roman;serif"/>
                  <w:b w:val="false"/>
                  <w:strike w:val="false"/>
                  <w:dstrike w:val="false"/>
                  <w:color w:val="000000"/>
                  <w:sz w:val="20"/>
                  <w:u w:val="none"/>
                  <w:effect w:val="none"/>
                </w:rPr>
                <w:t>Section 18.    Powers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353fc68b2d4af39480c02ecb9ebdf1">
              <w:r>
                <w:rPr>
                  <w:rStyle w:val="InternetLink"/>
                  <w:rFonts w:ascii="Times New Roman;serif" w:hAnsi="Times New Roman;serif"/>
                  <w:b w:val="false"/>
                  <w:strike w:val="false"/>
                  <w:dstrike w:val="false"/>
                  <w:color w:val="000000"/>
                  <w:sz w:val="20"/>
                  <w:u w:val="none"/>
                  <w:effect w:val="none"/>
                </w:rPr>
                <w:t>23</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52a42b36dfd64a5d928433bf9a5d67a3">
              <w:r>
                <w:rPr>
                  <w:rStyle w:val="InternetLink"/>
                  <w:rFonts w:ascii="Times New Roman;serif" w:hAnsi="Times New Roman;serif"/>
                  <w:b w:val="false"/>
                  <w:strike w:val="false"/>
                  <w:dstrike w:val="false"/>
                  <w:color w:val="000000"/>
                  <w:sz w:val="20"/>
                  <w:u w:val="none"/>
                  <w:effect w:val="none"/>
                </w:rPr>
                <w:t>Section 19.    Term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a42b36dfd64a5d928433bf9a5d67a3">
              <w:r>
                <w:rPr>
                  <w:rStyle w:val="InternetLink"/>
                  <w:rFonts w:ascii="Times New Roman;serif" w:hAnsi="Times New Roman;serif"/>
                  <w:b w:val="false"/>
                  <w:strike w:val="false"/>
                  <w:dstrike w:val="false"/>
                  <w:color w:val="000000"/>
                  <w:sz w:val="20"/>
                  <w:u w:val="none"/>
                  <w:effect w:val="none"/>
                </w:rPr>
                <w:t>23</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d6f0a9ffa89401793bf618b2c27b977">
              <w:r>
                <w:rPr>
                  <w:rStyle w:val="InternetLink"/>
                  <w:rFonts w:ascii="Times New Roman;serif" w:hAnsi="Times New Roman;serif"/>
                  <w:b w:val="false"/>
                  <w:strike w:val="false"/>
                  <w:dstrike w:val="false"/>
                  <w:color w:val="000000"/>
                  <w:sz w:val="20"/>
                  <w:u w:val="none"/>
                  <w:effect w:val="none"/>
                </w:rPr>
                <w:t>Section 20.    Vacancies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6f0a9ffa89401793bf618b2c27b977">
              <w:r>
                <w:rPr>
                  <w:rStyle w:val="InternetLink"/>
                  <w:rFonts w:ascii="Times New Roman;serif" w:hAnsi="Times New Roman;serif"/>
                  <w:b w:val="false"/>
                  <w:strike w:val="false"/>
                  <w:dstrike w:val="false"/>
                  <w:color w:val="000000"/>
                  <w:sz w:val="20"/>
                  <w:u w:val="none"/>
                  <w:effect w:val="none"/>
                </w:rPr>
                <w:t>23</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5c4f5facb9ed4175b30b7ba85a50ea9f">
              <w:r>
                <w:rPr>
                  <w:rStyle w:val="InternetLink"/>
                  <w:rFonts w:ascii="Times New Roman;serif" w:hAnsi="Times New Roman;serif"/>
                  <w:b w:val="false"/>
                  <w:strike w:val="false"/>
                  <w:dstrike w:val="false"/>
                  <w:color w:val="000000"/>
                  <w:sz w:val="20"/>
                  <w:u w:val="none"/>
                  <w:effect w:val="none"/>
                </w:rPr>
                <w:t>Section 21.    Resignation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4f5facb9ed4175b30b7ba85a50ea9f">
              <w:r>
                <w:rPr>
                  <w:rStyle w:val="InternetLink"/>
                  <w:rFonts w:ascii="Times New Roman;serif" w:hAnsi="Times New Roman;serif"/>
                  <w:b w:val="false"/>
                  <w:strike w:val="false"/>
                  <w:dstrike w:val="false"/>
                  <w:color w:val="000000"/>
                  <w:sz w:val="20"/>
                  <w:u w:val="none"/>
                  <w:effect w:val="none"/>
                </w:rPr>
                <w:t>23</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b4542ed67744070bd1e685abde855d6">
              <w:r>
                <w:rPr>
                  <w:rStyle w:val="InternetLink"/>
                  <w:rFonts w:ascii="Times New Roman;serif" w:hAnsi="Times New Roman;serif"/>
                  <w:b w:val="false"/>
                  <w:strike w:val="false"/>
                  <w:dstrike w:val="false"/>
                  <w:color w:val="000000"/>
                  <w:sz w:val="20"/>
                  <w:u w:val="none"/>
                  <w:effect w:val="none"/>
                </w:rPr>
                <w:t>Section 22.    Removal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4542ed67744070bd1e685abde855d6">
              <w:r>
                <w:rPr>
                  <w:rStyle w:val="InternetLink"/>
                  <w:rFonts w:ascii="Times New Roman;serif" w:hAnsi="Times New Roman;serif"/>
                  <w:b w:val="false"/>
                  <w:strike w:val="false"/>
                  <w:dstrike w:val="false"/>
                  <w:color w:val="000000"/>
                  <w:sz w:val="20"/>
                  <w:u w:val="none"/>
                  <w:effect w:val="none"/>
                </w:rPr>
                <w:t>23</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10417859334e451c96690126192a3a1b">
              <w:r>
                <w:rPr>
                  <w:rStyle w:val="InternetLink"/>
                  <w:rFonts w:ascii="Times New Roman;serif" w:hAnsi="Times New Roman;serif"/>
                  <w:b w:val="false"/>
                  <w:strike w:val="false"/>
                  <w:dstrike w:val="false"/>
                  <w:color w:val="000000"/>
                  <w:sz w:val="20"/>
                  <w:u w:val="none"/>
                  <w:effect w:val="none"/>
                </w:rPr>
                <w:t>Section 23.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417859334e451c96690126192a3a1b">
              <w:r>
                <w:rPr>
                  <w:rStyle w:val="InternetLink"/>
                  <w:rFonts w:ascii="Times New Roman;serif" w:hAnsi="Times New Roman;serif"/>
                  <w:b w:val="false"/>
                  <w:strike w:val="false"/>
                  <w:dstrike w:val="false"/>
                  <w:color w:val="000000"/>
                  <w:sz w:val="20"/>
                  <w:u w:val="none"/>
                  <w:effect w:val="none"/>
                </w:rPr>
                <w:t>23</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6fcf99b66b3b41f894f71d1e30bd4803">
              <w:r>
                <w:rPr>
                  <w:rStyle w:val="InternetLink"/>
                  <w:rFonts w:ascii="Times New Roman;serif" w:hAnsi="Times New Roman;serif"/>
                  <w:b w:val="false"/>
                  <w:strike w:val="false"/>
                  <w:dstrike w:val="false"/>
                  <w:color w:val="000000"/>
                  <w:sz w:val="20"/>
                  <w:u w:val="none"/>
                  <w:effect w:val="none"/>
                </w:rPr>
                <w:t>Section 24.    Quorum and Voting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cf99b66b3b41f894f71d1e30bd4803">
              <w:r>
                <w:rPr>
                  <w:rStyle w:val="InternetLink"/>
                  <w:rFonts w:ascii="Times New Roman;serif" w:hAnsi="Times New Roman;serif"/>
                  <w:b w:val="false"/>
                  <w:strike w:val="false"/>
                  <w:dstrike w:val="false"/>
                  <w:color w:val="000000"/>
                  <w:sz w:val="20"/>
                  <w:u w:val="none"/>
                  <w:effect w:val="none"/>
                </w:rPr>
                <w:t>24</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5d15603af0354447bc25e27afc8f0c4b">
              <w:r>
                <w:rPr>
                  <w:rStyle w:val="InternetLink"/>
                  <w:rFonts w:ascii="Times New Roman;serif" w:hAnsi="Times New Roman;serif"/>
                  <w:b w:val="false"/>
                  <w:strike w:val="false"/>
                  <w:dstrike w:val="false"/>
                  <w:color w:val="000000"/>
                  <w:sz w:val="20"/>
                  <w:u w:val="none"/>
                  <w:effect w:val="none"/>
                </w:rPr>
                <w:t>Section 25.    Action Without Meeting</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5603af0354447bc25e27afc8f0c4b">
              <w:r>
                <w:rPr>
                  <w:rStyle w:val="InternetLink"/>
                  <w:rFonts w:ascii="Times New Roman;serif" w:hAnsi="Times New Roman;serif"/>
                  <w:b w:val="false"/>
                  <w:strike w:val="false"/>
                  <w:dstrike w:val="false"/>
                  <w:color w:val="000000"/>
                  <w:sz w:val="20"/>
                  <w:u w:val="none"/>
                  <w:effect w:val="none"/>
                </w:rPr>
                <w:t>24</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1220d492064644b19611673dc911ad5a">
              <w:r>
                <w:rPr>
                  <w:rStyle w:val="InternetLink"/>
                  <w:rFonts w:ascii="Times New Roman;serif" w:hAnsi="Times New Roman;serif"/>
                  <w:b w:val="false"/>
                  <w:strike w:val="false"/>
                  <w:dstrike w:val="false"/>
                  <w:color w:val="000000"/>
                  <w:sz w:val="20"/>
                  <w:u w:val="none"/>
                  <w:effect w:val="none"/>
                </w:rPr>
                <w:t>Section 26.    Fees and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20d492064644b19611673dc911ad5a">
              <w:r>
                <w:rPr>
                  <w:rStyle w:val="InternetLink"/>
                  <w:rFonts w:ascii="Times New Roman;serif" w:hAnsi="Times New Roman;serif"/>
                  <w:b w:val="false"/>
                  <w:strike w:val="false"/>
                  <w:dstrike w:val="false"/>
                  <w:color w:val="000000"/>
                  <w:sz w:val="20"/>
                  <w:u w:val="none"/>
                  <w:effect w:val="none"/>
                </w:rPr>
                <w:t>24</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dd0072b7b5f4e4894dae52f57a75ea2">
              <w:r>
                <w:rPr>
                  <w:rStyle w:val="InternetLink"/>
                  <w:rFonts w:ascii="Times New Roman;serif" w:hAnsi="Times New Roman;serif"/>
                  <w:b w:val="false"/>
                  <w:strike w:val="false"/>
                  <w:dstrike w:val="false"/>
                  <w:color w:val="000000"/>
                  <w:sz w:val="20"/>
                  <w:u w:val="none"/>
                  <w:effect w:val="none"/>
                </w:rPr>
                <w:t>Section 27.    Committees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dd0072b7b5f4e4894dae52f57a75ea2">
              <w:r>
                <w:rPr>
                  <w:rStyle w:val="InternetLink"/>
                  <w:rFonts w:ascii="Times New Roman;serif" w:hAnsi="Times New Roman;serif"/>
                  <w:b w:val="false"/>
                  <w:strike w:val="false"/>
                  <w:dstrike w:val="false"/>
                  <w:color w:val="000000"/>
                  <w:sz w:val="20"/>
                  <w:u w:val="none"/>
                  <w:effect w:val="none"/>
                </w:rPr>
                <w:t>24</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0a154b0fceb546e0b39709615df446a4">
              <w:r>
                <w:rPr>
                  <w:rStyle w:val="InternetLink"/>
                  <w:rFonts w:ascii="Times New Roman;serif" w:hAnsi="Times New Roman;serif"/>
                  <w:b w:val="false"/>
                  <w:strike w:val="false"/>
                  <w:dstrike w:val="false"/>
                  <w:color w:val="000000"/>
                  <w:sz w:val="20"/>
                  <w:u w:val="none"/>
                  <w:effect w:val="none"/>
                </w:rPr>
                <w:t>Section 28.    Organization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154b0fceb546e0b39709615df446a4">
              <w:r>
                <w:rPr>
                  <w:rStyle w:val="InternetLink"/>
                  <w:rFonts w:ascii="Times New Roman;serif" w:hAnsi="Times New Roman;serif"/>
                  <w:b w:val="false"/>
                  <w:strike w:val="false"/>
                  <w:dstrike w:val="false"/>
                  <w:color w:val="000000"/>
                  <w:sz w:val="20"/>
                  <w:u w:val="none"/>
                  <w:effect w:val="none"/>
                </w:rPr>
                <w:t>25</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c99d967c4b4a7d858552991480d2e3">
              <w:r>
                <w:rPr>
                  <w:rStyle w:val="InternetLink"/>
                  <w:rFonts w:ascii="Times New Roman;serif" w:hAnsi="Times New Roman;serif"/>
                  <w:b w:val="false"/>
                  <w:strike w:val="false"/>
                  <w:dstrike w:val="false"/>
                  <w:color w:val="000000"/>
                  <w:sz w:val="20"/>
                  <w:u w:val="none"/>
                  <w:effect w:val="none"/>
                </w:rPr>
                <w:t>ARTICLE V</w:t>
                <w:br/>
                <w:t>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c99d967c4b4a7d858552991480d2e3">
              <w:r>
                <w:rPr>
                  <w:rStyle w:val="InternetLink"/>
                  <w:rFonts w:ascii="Times New Roman;serif" w:hAnsi="Times New Roman;serif"/>
                  <w:b w:val="false"/>
                  <w:strike w:val="false"/>
                  <w:dstrike w:val="false"/>
                  <w:color w:val="000000"/>
                  <w:sz w:val="20"/>
                  <w:u w:val="none"/>
                  <w:effect w:val="none"/>
                </w:rPr>
                <w:t>25</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154d7c6fe86d4c2aad0a6b1032cfdd05">
              <w:r>
                <w:rPr>
                  <w:rStyle w:val="InternetLink"/>
                  <w:rFonts w:ascii="Times New Roman;serif" w:hAnsi="Times New Roman;serif"/>
                  <w:b w:val="false"/>
                  <w:strike w:val="false"/>
                  <w:dstrike w:val="false"/>
                  <w:color w:val="000000"/>
                  <w:sz w:val="20"/>
                  <w:u w:val="none"/>
                  <w:effect w:val="none"/>
                </w:rPr>
                <w:t>Section 29.    Officers Designated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4d7c6fe86d4c2aad0a6b1032cfdd05">
              <w:r>
                <w:rPr>
                  <w:rStyle w:val="InternetLink"/>
                  <w:rFonts w:ascii="Times New Roman;serif" w:hAnsi="Times New Roman;serif"/>
                  <w:b w:val="false"/>
                  <w:strike w:val="false"/>
                  <w:dstrike w:val="false"/>
                  <w:color w:val="000000"/>
                  <w:sz w:val="20"/>
                  <w:u w:val="none"/>
                  <w:effect w:val="none"/>
                </w:rPr>
                <w:t>25</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e4e60a553d3f42dca480b35752388ad7">
              <w:r>
                <w:rPr>
                  <w:rStyle w:val="InternetLink"/>
                  <w:rFonts w:ascii="Times New Roman;serif" w:hAnsi="Times New Roman;serif"/>
                  <w:b w:val="false"/>
                  <w:strike w:val="false"/>
                  <w:dstrike w:val="false"/>
                  <w:color w:val="000000"/>
                  <w:sz w:val="20"/>
                  <w:u w:val="none"/>
                  <w:effect w:val="none"/>
                </w:rPr>
                <w:t>Section 30.    Tenure and Duties of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e60a553d3f42dca480b35752388ad7">
              <w:r>
                <w:rPr>
                  <w:rStyle w:val="InternetLink"/>
                  <w:rFonts w:ascii="Times New Roman;serif" w:hAnsi="Times New Roman;serif"/>
                  <w:b w:val="false"/>
                  <w:strike w:val="false"/>
                  <w:dstrike w:val="false"/>
                  <w:color w:val="000000"/>
                  <w:sz w:val="20"/>
                  <w:u w:val="none"/>
                  <w:effect w:val="none"/>
                </w:rPr>
                <w:t>26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0c7ac07d0eb241d6ab0a2ab0e3496489">
              <w:r>
                <w:rPr>
                  <w:rStyle w:val="InternetLink"/>
                  <w:rFonts w:ascii="Times New Roman;serif" w:hAnsi="Times New Roman;serif"/>
                  <w:b w:val="false"/>
                  <w:strike w:val="false"/>
                  <w:dstrike w:val="false"/>
                  <w:color w:val="000000"/>
                  <w:sz w:val="20"/>
                  <w:u w:val="none"/>
                  <w:effect w:val="none"/>
                </w:rPr>
                <w:t>Section 31.    Delegation of Authority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7ac07d0eb241d6ab0a2ab0e3496489">
              <w:r>
                <w:rPr>
                  <w:rStyle w:val="InternetLink"/>
                  <w:rFonts w:ascii="Times New Roman;serif" w:hAnsi="Times New Roman;serif"/>
                  <w:b w:val="false"/>
                  <w:strike w:val="false"/>
                  <w:dstrike w:val="false"/>
                  <w:color w:val="000000"/>
                  <w:sz w:val="20"/>
                  <w:u w:val="none"/>
                  <w:effect w:val="none"/>
                </w:rPr>
                <w:t>26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af9e9cb2e17741e08a396e18f0d4e07d">
              <w:r>
                <w:rPr>
                  <w:rStyle w:val="InternetLink"/>
                  <w:rFonts w:ascii="Times New Roman;serif" w:hAnsi="Times New Roman;serif"/>
                  <w:b w:val="false"/>
                  <w:strike w:val="false"/>
                  <w:dstrike w:val="false"/>
                  <w:color w:val="000000"/>
                  <w:sz w:val="20"/>
                  <w:u w:val="none"/>
                  <w:effect w:val="none"/>
                </w:rPr>
                <w:t>Section 32.    Resignations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9e9cb2e17741e08a396e18f0d4e07d">
              <w:r>
                <w:rPr>
                  <w:rStyle w:val="InternetLink"/>
                  <w:rFonts w:ascii="Times New Roman;serif" w:hAnsi="Times New Roman;serif"/>
                  <w:b w:val="false"/>
                  <w:strike w:val="false"/>
                  <w:dstrike w:val="false"/>
                  <w:color w:val="000000"/>
                  <w:sz w:val="20"/>
                  <w:u w:val="none"/>
                  <w:effect w:val="none"/>
                </w:rPr>
                <w:t>26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96463407cae746d5a94e4875ee922eaa">
              <w:r>
                <w:rPr>
                  <w:rStyle w:val="InternetLink"/>
                  <w:rFonts w:ascii="Times New Roman;serif" w:hAnsi="Times New Roman;serif"/>
                  <w:b w:val="false"/>
                  <w:strike w:val="false"/>
                  <w:dstrike w:val="false"/>
                  <w:color w:val="000000"/>
                  <w:sz w:val="20"/>
                  <w:u w:val="none"/>
                  <w:effect w:val="none"/>
                </w:rPr>
                <w:t>Section 33.    Removal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463407cae746d5a94e4875ee922eaa">
              <w:r>
                <w:rPr>
                  <w:rStyle w:val="InternetLink"/>
                  <w:rFonts w:ascii="Times New Roman;serif" w:hAnsi="Times New Roman;serif"/>
                  <w:b w:val="false"/>
                  <w:strike w:val="false"/>
                  <w:dstrike w:val="false"/>
                  <w:color w:val="000000"/>
                  <w:sz w:val="20"/>
                  <w:u w:val="none"/>
                  <w:effect w:val="none"/>
                </w:rPr>
                <w:t>26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245c31aef9d4f85a543be5eed9e02ec">
              <w:r>
                <w:rPr>
                  <w:rStyle w:val="InternetLink"/>
                  <w:rFonts w:ascii="Times New Roman;serif" w:hAnsi="Times New Roman;serif"/>
                  <w:b w:val="false"/>
                  <w:strike w:val="false"/>
                  <w:dstrike w:val="false"/>
                  <w:color w:val="000000"/>
                  <w:sz w:val="20"/>
                  <w:u w:val="none"/>
                  <w:effect w:val="none"/>
                </w:rPr>
                <w:t>Section 34.    Subordinate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45c31aef9d4f85a543be5eed9e02ec">
              <w:r>
                <w:rPr>
                  <w:rStyle w:val="InternetLink"/>
                  <w:rFonts w:ascii="Times New Roman;serif" w:hAnsi="Times New Roman;serif"/>
                  <w:b w:val="false"/>
                  <w:strike w:val="false"/>
                  <w:dstrike w:val="false"/>
                  <w:color w:val="000000"/>
                  <w:sz w:val="20"/>
                  <w:u w:val="none"/>
                  <w:effect w:val="none"/>
                </w:rPr>
                <w:t>26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78941198e1e423a88f5ba2db481a502">
              <w:r>
                <w:rPr>
                  <w:rStyle w:val="InternetLink"/>
                  <w:rFonts w:ascii="Times New Roman;serif" w:hAnsi="Times New Roman;serif"/>
                  <w:b w:val="false"/>
                  <w:strike w:val="false"/>
                  <w:dstrike w:val="false"/>
                  <w:color w:val="000000"/>
                  <w:sz w:val="20"/>
                  <w:u w:val="none"/>
                  <w:effect w:val="none"/>
                </w:rPr>
                <w:t>ARTICLE VI</w:t>
                <w:br/>
                <w:t>EXECUTION OF CORPORATE INSTRUMENTS AND VOTING OF SECURITIES OWNED BY THE CORPORATION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8941198e1e423a88f5ba2db481a502">
              <w:r>
                <w:rPr>
                  <w:rStyle w:val="InternetLink"/>
                  <w:rFonts w:ascii="Times New Roman;serif" w:hAnsi="Times New Roman;serif"/>
                  <w:b w:val="false"/>
                  <w:strike w:val="false"/>
                  <w:dstrike w:val="false"/>
                  <w:color w:val="000000"/>
                  <w:sz w:val="20"/>
                  <w:u w:val="none"/>
                  <w:effect w:val="none"/>
                </w:rPr>
                <w:t>26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89b42ff5ed91486a975b90cabd7c0b1f">
              <w:r>
                <w:rPr>
                  <w:rStyle w:val="InternetLink"/>
                  <w:rFonts w:ascii="Times New Roman;serif" w:hAnsi="Times New Roman;serif"/>
                  <w:b w:val="false"/>
                  <w:strike w:val="false"/>
                  <w:dstrike w:val="false"/>
                  <w:color w:val="000000"/>
                  <w:sz w:val="20"/>
                  <w:u w:val="none"/>
                  <w:effect w:val="none"/>
                </w:rPr>
                <w:t>Section 35.    Execution of Corporate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b42ff5ed91486a975b90cabd7c0b1f">
              <w:r>
                <w:rPr>
                  <w:rStyle w:val="InternetLink"/>
                  <w:rFonts w:ascii="Times New Roman;serif" w:hAnsi="Times New Roman;serif"/>
                  <w:b w:val="false"/>
                  <w:strike w:val="false"/>
                  <w:dstrike w:val="false"/>
                  <w:color w:val="000000"/>
                  <w:sz w:val="20"/>
                  <w:u w:val="none"/>
                  <w:effect w:val="none"/>
                </w:rPr>
                <w:t>26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82675"/>
                <wp:effectExtent l="0" t="0" r="0" b="0"/>
                <wp:wrapNone/>
                <wp:docPr id="5" name="Frame5"/>
                <a:graphic xmlns:a="http://schemas.openxmlformats.org/drawingml/2006/main">
                  <a:graphicData uri="http://schemas.microsoft.com/office/word/2010/wordprocessingShape">
                    <wps:wsp>
                      <wps:cNvSpPr txBox="1"/>
                      <wps:spPr>
                        <a:xfrm>
                          <a:off x="0" y="0"/>
                          <a:ext cx="6480175" cy="108267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bl>
                            <w:tblPr>
                              <w:tblW w:w="946" w:type="dxa"/>
                              <w:jc w:val="center"/>
                              <w:tblInd w:w="0" w:type="dxa"/>
                              <w:tblLayout w:type="fixed"/>
                              <w:tblCellMar>
                                <w:top w:w="28" w:type="dxa"/>
                                <w:left w:w="28" w:type="dxa"/>
                                <w:bottom w:w="28" w:type="dxa"/>
                                <w:right w:w="28" w:type="dxa"/>
                              </w:tblCellMar>
                            </w:tblPr>
                            <w:tblGrid>
                              <w:gridCol w:w="303"/>
                              <w:gridCol w:w="266"/>
                              <w:gridCol w:w="37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1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bl>
                      <w:tblPr>
                        <w:tblW w:w="946" w:type="dxa"/>
                        <w:jc w:val="center"/>
                        <w:tblInd w:w="0" w:type="dxa"/>
                        <w:tblLayout w:type="fixed"/>
                        <w:tblCellMar>
                          <w:top w:w="28" w:type="dxa"/>
                          <w:left w:w="28" w:type="dxa"/>
                          <w:bottom w:w="28" w:type="dxa"/>
                          <w:right w:w="28" w:type="dxa"/>
                        </w:tblCellMar>
                      </w:tblPr>
                      <w:tblGrid>
                        <w:gridCol w:w="303"/>
                        <w:gridCol w:w="266"/>
                        <w:gridCol w:w="37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1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w:t>
                            </w:r>
                          </w:p>
                        </w:tc>
                      </w:tr>
                    </w:tbl>
                    <w:p>
                      <w:pPr>
                        <w:pStyle w:val="TextBody"/>
                        <w:bidi w:val="0"/>
                        <w:spacing w:before="0" w:after="283"/>
                        <w:jc w:val="left"/>
                        <w:rPr/>
                      </w:pPr>
                      <w:r>
                        <w:rPr/>
                      </w:r>
                    </w:p>
                  </w:txbxContent>
                </v:textbox>
                <w10:wrap type="none"/>
              </v:rect>
            </w:pict>
          </mc:Fallback>
        </mc:AlternateContent>
      </w:r>
    </w:p>
    <w:tbl>
      <w:tblPr>
        <w:tblW w:w="9132" w:type="dxa"/>
        <w:jc w:val="left"/>
        <w:tblInd w:w="0" w:type="dxa"/>
        <w:tblLayout w:type="fixed"/>
        <w:tblCellMar>
          <w:top w:w="28" w:type="dxa"/>
          <w:left w:w="28" w:type="dxa"/>
          <w:bottom w:w="28" w:type="dxa"/>
          <w:right w:w="28" w:type="dxa"/>
        </w:tblCellMar>
      </w:tblPr>
      <w:tblGrid>
        <w:gridCol w:w="3176"/>
        <w:gridCol w:w="2792"/>
        <w:gridCol w:w="2792"/>
        <w:gridCol w:w="109"/>
        <w:gridCol w:w="109"/>
        <w:gridCol w:w="154"/>
      </w:tblGrid>
      <w:tr>
        <w:trPr/>
        <w:tc>
          <w:tcPr>
            <w:tcW w:w="3176"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9485b87cbd34c92af3138eef8d5747c">
              <w:r>
                <w:rPr>
                  <w:rStyle w:val="InternetLink"/>
                  <w:rFonts w:ascii="Times New Roman;serif" w:hAnsi="Times New Roman;serif"/>
                  <w:b w:val="false"/>
                  <w:strike w:val="false"/>
                  <w:dstrike w:val="false"/>
                  <w:color w:val="000000"/>
                  <w:sz w:val="20"/>
                  <w:u w:val="none"/>
                  <w:effect w:val="none"/>
                </w:rPr>
                <w:t>Section 36.    Voting of Securities Owned By the Corporation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485b87cbd34c92af3138eef8d5747c">
              <w:r>
                <w:rPr>
                  <w:rStyle w:val="InternetLink"/>
                  <w:rFonts w:ascii="Times New Roman;serif" w:hAnsi="Times New Roman;serif"/>
                  <w:b w:val="false"/>
                  <w:strike w:val="false"/>
                  <w:dstrike w:val="false"/>
                  <w:color w:val="000000"/>
                  <w:sz w:val="20"/>
                  <w:u w:val="none"/>
                  <w:effect w:val="none"/>
                </w:rPr>
                <w:t>26</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4466e2e77b54e2eab51f120acc07628">
              <w:r>
                <w:rPr>
                  <w:rStyle w:val="InternetLink"/>
                  <w:rFonts w:ascii="Times New Roman;serif" w:hAnsi="Times New Roman;serif"/>
                  <w:b w:val="false"/>
                  <w:strike w:val="false"/>
                  <w:dstrike w:val="false"/>
                  <w:color w:val="000000"/>
                  <w:sz w:val="20"/>
                  <w:u w:val="none"/>
                  <w:effect w:val="none"/>
                </w:rPr>
                <w:t>ARTICLE VII</w:t>
                <w:br/>
                <w:t>SHARES OF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466e2e77b54e2eab51f120acc07628">
              <w:r>
                <w:rPr>
                  <w:rStyle w:val="InternetLink"/>
                  <w:rFonts w:ascii="Times New Roman;serif" w:hAnsi="Times New Roman;serif"/>
                  <w:b w:val="false"/>
                  <w:strike w:val="false"/>
                  <w:dstrike w:val="false"/>
                  <w:color w:val="000000"/>
                  <w:sz w:val="20"/>
                  <w:u w:val="none"/>
                  <w:effect w:val="none"/>
                </w:rPr>
                <w:t>27</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539bd7662ffc4574af708122c4068eb9">
              <w:r>
                <w:rPr>
                  <w:rStyle w:val="InternetLink"/>
                  <w:rFonts w:ascii="Times New Roman;serif" w:hAnsi="Times New Roman;serif"/>
                  <w:b w:val="false"/>
                  <w:strike w:val="false"/>
                  <w:dstrike w:val="false"/>
                  <w:color w:val="000000"/>
                  <w:sz w:val="20"/>
                  <w:u w:val="none"/>
                  <w:effect w:val="none"/>
                </w:rPr>
                <w:t>Section 37.    Form and Execution of Certificates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39bd7662ffc4574af708122c4068eb9">
              <w:r>
                <w:rPr>
                  <w:rStyle w:val="InternetLink"/>
                  <w:rFonts w:ascii="Times New Roman;serif" w:hAnsi="Times New Roman;serif"/>
                  <w:b w:val="false"/>
                  <w:strike w:val="false"/>
                  <w:dstrike w:val="false"/>
                  <w:color w:val="000000"/>
                  <w:sz w:val="20"/>
                  <w:u w:val="none"/>
                  <w:effect w:val="none"/>
                </w:rPr>
                <w:t>27</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f02deeacaaf8465486bb1d4d596458a9">
              <w:r>
                <w:rPr>
                  <w:rStyle w:val="InternetLink"/>
                  <w:rFonts w:ascii="Times New Roman;serif" w:hAnsi="Times New Roman;serif"/>
                  <w:b w:val="false"/>
                  <w:strike w:val="false"/>
                  <w:dstrike w:val="false"/>
                  <w:color w:val="000000"/>
                  <w:sz w:val="20"/>
                  <w:u w:val="none"/>
                  <w:effect w:val="none"/>
                </w:rPr>
                <w:t>Section 38.    Lost Certificates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2deeacaaf8465486bb1d4d596458a9">
              <w:r>
                <w:rPr>
                  <w:rStyle w:val="InternetLink"/>
                  <w:rFonts w:ascii="Times New Roman;serif" w:hAnsi="Times New Roman;serif"/>
                  <w:b w:val="false"/>
                  <w:strike w:val="false"/>
                  <w:dstrike w:val="false"/>
                  <w:color w:val="000000"/>
                  <w:sz w:val="20"/>
                  <w:u w:val="none"/>
                  <w:effect w:val="none"/>
                </w:rPr>
                <w:t>27</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5ad9563c4ff4a74b2a7b8c459896ddf">
              <w:r>
                <w:rPr>
                  <w:rStyle w:val="InternetLink"/>
                  <w:rFonts w:ascii="Times New Roman;serif" w:hAnsi="Times New Roman;serif"/>
                  <w:b w:val="false"/>
                  <w:strike w:val="false"/>
                  <w:dstrike w:val="false"/>
                  <w:color w:val="000000"/>
                  <w:sz w:val="20"/>
                  <w:u w:val="none"/>
                  <w:effect w:val="none"/>
                </w:rPr>
                <w:t>Section 39.    Transfers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ad9563c4ff4a74b2a7b8c459896ddf">
              <w:r>
                <w:rPr>
                  <w:rStyle w:val="InternetLink"/>
                  <w:rFonts w:ascii="Times New Roman;serif" w:hAnsi="Times New Roman;serif"/>
                  <w:b w:val="false"/>
                  <w:strike w:val="false"/>
                  <w:dstrike w:val="false"/>
                  <w:color w:val="000000"/>
                  <w:sz w:val="20"/>
                  <w:u w:val="none"/>
                  <w:effect w:val="none"/>
                </w:rPr>
                <w:t>27</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9a9e4f2a1573410c894084b3447cd5cb">
              <w:r>
                <w:rPr>
                  <w:rStyle w:val="InternetLink"/>
                  <w:rFonts w:ascii="Times New Roman;serif" w:hAnsi="Times New Roman;serif"/>
                  <w:b w:val="false"/>
                  <w:strike w:val="false"/>
                  <w:dstrike w:val="false"/>
                  <w:color w:val="000000"/>
                  <w:sz w:val="20"/>
                  <w:u w:val="none"/>
                  <w:effect w:val="none"/>
                </w:rPr>
                <w:t>Section 40.    Fixing Record Dates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9e4f2a1573410c894084b3447cd5cb">
              <w:r>
                <w:rPr>
                  <w:rStyle w:val="InternetLink"/>
                  <w:rFonts w:ascii="Times New Roman;serif" w:hAnsi="Times New Roman;serif"/>
                  <w:b w:val="false"/>
                  <w:strike w:val="false"/>
                  <w:dstrike w:val="false"/>
                  <w:color w:val="000000"/>
                  <w:sz w:val="20"/>
                  <w:u w:val="none"/>
                  <w:effect w:val="none"/>
                </w:rPr>
                <w:t>28</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db565eb10dc04b2fb602c3aac832a731">
              <w:r>
                <w:rPr>
                  <w:rStyle w:val="InternetLink"/>
                  <w:rFonts w:ascii="Times New Roman;serif" w:hAnsi="Times New Roman;serif"/>
                  <w:b w:val="false"/>
                  <w:strike w:val="false"/>
                  <w:dstrike w:val="false"/>
                  <w:color w:val="000000"/>
                  <w:sz w:val="20"/>
                  <w:u w:val="none"/>
                  <w:effect w:val="none"/>
                </w:rPr>
                <w:t>Section 41.    Registered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565eb10dc04b2fb602c3aac832a731">
              <w:r>
                <w:rPr>
                  <w:rStyle w:val="InternetLink"/>
                  <w:rFonts w:ascii="Times New Roman;serif" w:hAnsi="Times New Roman;serif"/>
                  <w:b w:val="false"/>
                  <w:strike w:val="false"/>
                  <w:dstrike w:val="false"/>
                  <w:color w:val="000000"/>
                  <w:sz w:val="20"/>
                  <w:u w:val="none"/>
                  <w:effect w:val="none"/>
                </w:rPr>
                <w:t>28</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a011b064b9541a7ab7a2c87fe3e0a80">
              <w:r>
                <w:rPr>
                  <w:rStyle w:val="InternetLink"/>
                  <w:rFonts w:ascii="Times New Roman;serif" w:hAnsi="Times New Roman;serif"/>
                  <w:b w:val="false"/>
                  <w:strike w:val="false"/>
                  <w:dstrike w:val="false"/>
                  <w:color w:val="000000"/>
                  <w:sz w:val="20"/>
                  <w:u w:val="none"/>
                  <w:effect w:val="none"/>
                </w:rPr>
                <w:t>ARTICLE VIII</w:t>
                <w:br/>
                <w:t>OTHER SECURITIES OF THE CORPORATION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11b064b9541a7ab7a2c87fe3e0a80">
              <w:r>
                <w:rPr>
                  <w:rStyle w:val="InternetLink"/>
                  <w:rFonts w:ascii="Times New Roman;serif" w:hAnsi="Times New Roman;serif"/>
                  <w:b w:val="false"/>
                  <w:strike w:val="false"/>
                  <w:dstrike w:val="false"/>
                  <w:color w:val="000000"/>
                  <w:sz w:val="20"/>
                  <w:u w:val="none"/>
                  <w:effect w:val="none"/>
                </w:rPr>
                <w:t>28</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363afec254da41198437cfdbb8e878af">
              <w:r>
                <w:rPr>
                  <w:rStyle w:val="InternetLink"/>
                  <w:rFonts w:ascii="Times New Roman;serif" w:hAnsi="Times New Roman;serif"/>
                  <w:b w:val="false"/>
                  <w:strike w:val="false"/>
                  <w:dstrike w:val="false"/>
                  <w:color w:val="000000"/>
                  <w:sz w:val="20"/>
                  <w:u w:val="none"/>
                  <w:effect w:val="none"/>
                </w:rPr>
                <w:t>Section 42.    Execution of Other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3afec254da41198437cfdbb8e878af">
              <w:r>
                <w:rPr>
                  <w:rStyle w:val="InternetLink"/>
                  <w:rFonts w:ascii="Times New Roman;serif" w:hAnsi="Times New Roman;serif"/>
                  <w:b w:val="false"/>
                  <w:strike w:val="false"/>
                  <w:dstrike w:val="false"/>
                  <w:color w:val="000000"/>
                  <w:sz w:val="20"/>
                  <w:u w:val="none"/>
                  <w:effect w:val="none"/>
                </w:rPr>
                <w:t>28</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90dfdf353e24a4ba936f59ecbee30e2">
              <w:r>
                <w:rPr>
                  <w:rStyle w:val="InternetLink"/>
                  <w:rFonts w:ascii="Times New Roman;serif" w:hAnsi="Times New Roman;serif"/>
                  <w:b w:val="false"/>
                  <w:strike w:val="false"/>
                  <w:dstrike w:val="false"/>
                  <w:color w:val="000000"/>
                  <w:sz w:val="20"/>
                  <w:u w:val="none"/>
                  <w:effect w:val="none"/>
                </w:rPr>
                <w:t>ARTICLE IX</w:t>
                <w:br/>
                <w:t>INDEMNIFICATION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0dfdf353e24a4ba936f59ecbee30e2">
              <w:r>
                <w:rPr>
                  <w:rStyle w:val="InternetLink"/>
                  <w:rFonts w:ascii="Times New Roman;serif" w:hAnsi="Times New Roman;serif"/>
                  <w:b w:val="false"/>
                  <w:strike w:val="false"/>
                  <w:dstrike w:val="false"/>
                  <w:color w:val="000000"/>
                  <w:sz w:val="20"/>
                  <w:u w:val="none"/>
                  <w:effect w:val="none"/>
                </w:rPr>
                <w:t>29</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e22407da3ef476da6756176e4cfc317">
              <w:r>
                <w:rPr>
                  <w:rStyle w:val="InternetLink"/>
                  <w:rFonts w:ascii="Times New Roman;serif" w:hAnsi="Times New Roman;serif"/>
                  <w:b w:val="false"/>
                  <w:strike w:val="false"/>
                  <w:dstrike w:val="false"/>
                  <w:color w:val="000000"/>
                  <w:sz w:val="20"/>
                  <w:u w:val="none"/>
                  <w:effect w:val="none"/>
                </w:rPr>
                <w:t>Section 43.    Indemnification of Directors, Executive Officers, Other Officers, Employees and Other Agents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22407da3ef476da6756176e4cfc317">
              <w:r>
                <w:rPr>
                  <w:rStyle w:val="InternetLink"/>
                  <w:rFonts w:ascii="Times New Roman;serif" w:hAnsi="Times New Roman;serif"/>
                  <w:b w:val="false"/>
                  <w:strike w:val="false"/>
                  <w:dstrike w:val="false"/>
                  <w:color w:val="000000"/>
                  <w:sz w:val="20"/>
                  <w:u w:val="none"/>
                  <w:effect w:val="none"/>
                </w:rPr>
                <w:t>29</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5eb1304b0fb46739e685e6bc80c8fe5">
              <w:r>
                <w:rPr>
                  <w:rStyle w:val="InternetLink"/>
                  <w:rFonts w:ascii="Times New Roman;serif" w:hAnsi="Times New Roman;serif"/>
                  <w:b w:val="false"/>
                  <w:strike w:val="false"/>
                  <w:dstrike w:val="false"/>
                  <w:color w:val="000000"/>
                  <w:sz w:val="20"/>
                  <w:u w:val="none"/>
                  <w:effect w:val="none"/>
                </w:rPr>
                <w:t>ARTICLE X</w:t>
                <w:br/>
                <w:t>FISCAL YEAR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eb1304b0fb46739e685e6bc80c8fe5">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e2cea3fd48f04ed084aaf4685db457be">
              <w:r>
                <w:rPr>
                  <w:rStyle w:val="InternetLink"/>
                  <w:rFonts w:ascii="Times New Roman;serif" w:hAnsi="Times New Roman;serif"/>
                  <w:b w:val="false"/>
                  <w:strike w:val="false"/>
                  <w:dstrike w:val="false"/>
                  <w:color w:val="000000"/>
                  <w:sz w:val="20"/>
                  <w:u w:val="none"/>
                  <w:effect w:val="none"/>
                </w:rPr>
                <w:t>Section 44.    Fiscal Year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cea3fd48f04ed084aaf4685db457be">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6b49fdb625048c98b9854f9e0491cec">
              <w:r>
                <w:rPr>
                  <w:rStyle w:val="InternetLink"/>
                  <w:rFonts w:ascii="Times New Roman;serif" w:hAnsi="Times New Roman;serif"/>
                  <w:b w:val="false"/>
                  <w:strike w:val="false"/>
                  <w:dstrike w:val="false"/>
                  <w:color w:val="000000"/>
                  <w:sz w:val="20"/>
                  <w:u w:val="none"/>
                  <w:effect w:val="none"/>
                </w:rPr>
                <w:t>ARTICLE XI</w:t>
                <w:br/>
                <w:t>DIVIDENDS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b49fdb625048c98b9854f9e0491cec">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87c2971721bb4bac9aecfab1f0f8af5b">
              <w:r>
                <w:rPr>
                  <w:rStyle w:val="InternetLink"/>
                  <w:rFonts w:ascii="Times New Roman;serif" w:hAnsi="Times New Roman;serif"/>
                  <w:b w:val="false"/>
                  <w:strike w:val="false"/>
                  <w:dstrike w:val="false"/>
                  <w:color w:val="000000"/>
                  <w:sz w:val="20"/>
                  <w:u w:val="none"/>
                  <w:effect w:val="none"/>
                </w:rPr>
                <w:t>Section 45.    Declaration of Dividends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c2971721bb4bac9aecfab1f0f8af5b">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18945fa4b295428d884c93a17bb0e0fd">
              <w:r>
                <w:rPr>
                  <w:rStyle w:val="InternetLink"/>
                  <w:rFonts w:ascii="Times New Roman;serif" w:hAnsi="Times New Roman;serif"/>
                  <w:b w:val="false"/>
                  <w:strike w:val="false"/>
                  <w:dstrike w:val="false"/>
                  <w:color w:val="000000"/>
                  <w:sz w:val="20"/>
                  <w:u w:val="none"/>
                  <w:effect w:val="none"/>
                </w:rPr>
                <w:t>Section 46.    Dividend Reserve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945fa4b295428d884c93a17bb0e0fd">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f98ad0d180f4c219ec1080383d3969f">
              <w:r>
                <w:rPr>
                  <w:rStyle w:val="InternetLink"/>
                  <w:rFonts w:ascii="Times New Roman;serif" w:hAnsi="Times New Roman;serif"/>
                  <w:b w:val="false"/>
                  <w:strike w:val="false"/>
                  <w:dstrike w:val="false"/>
                  <w:color w:val="000000"/>
                  <w:sz w:val="20"/>
                  <w:u w:val="none"/>
                  <w:effect w:val="none"/>
                </w:rPr>
                <w:t>ARTICLE XII</w:t>
                <w:br/>
                <w:t>NOTICES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98ad0d180f4c219ec1080383d3969f">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20901146ae144893aa3baf3568ec9c04">
              <w:r>
                <w:rPr>
                  <w:rStyle w:val="InternetLink"/>
                  <w:rFonts w:ascii="Times New Roman;serif" w:hAnsi="Times New Roman;serif"/>
                  <w:b w:val="false"/>
                  <w:strike w:val="false"/>
                  <w:dstrike w:val="false"/>
                  <w:color w:val="000000"/>
                  <w:sz w:val="20"/>
                  <w:u w:val="none"/>
                  <w:effect w:val="none"/>
                </w:rPr>
                <w:t>Section 47.    Notices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01146ae144893aa3baf3568ec9c04">
              <w:r>
                <w:rPr>
                  <w:rStyle w:val="InternetLink"/>
                  <w:rFonts w:ascii="Times New Roman;serif" w:hAnsi="Times New Roman;serif"/>
                  <w:b w:val="false"/>
                  <w:strike w:val="false"/>
                  <w:dstrike w:val="false"/>
                  <w:color w:val="000000"/>
                  <w:sz w:val="20"/>
                  <w:u w:val="none"/>
                  <w:effect w:val="none"/>
                </w:rPr>
                <w:t>31</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6be5da599ec94224a177b462c0a8339e">
              <w:r>
                <w:rPr>
                  <w:rStyle w:val="InternetLink"/>
                  <w:rFonts w:ascii="Times New Roman;serif" w:hAnsi="Times New Roman;serif"/>
                  <w:b w:val="false"/>
                  <w:strike w:val="false"/>
                  <w:dstrike w:val="false"/>
                  <w:color w:val="000000"/>
                  <w:sz w:val="20"/>
                  <w:u w:val="none"/>
                  <w:effect w:val="none"/>
                </w:rPr>
                <w:t>Section 48.    Notice By Electronic Transmission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be5da599ec94224a177b462c0a8339e">
              <w:r>
                <w:rPr>
                  <w:rStyle w:val="InternetLink"/>
                  <w:rFonts w:ascii="Times New Roman;serif" w:hAnsi="Times New Roman;serif"/>
                  <w:b w:val="false"/>
                  <w:strike w:val="false"/>
                  <w:dstrike w:val="false"/>
                  <w:color w:val="000000"/>
                  <w:sz w:val="20"/>
                  <w:u w:val="none"/>
                  <w:effect w:val="none"/>
                </w:rPr>
                <w:t>32</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e1c84d1ee454100894526aa0027b1a3">
              <w:r>
                <w:rPr>
                  <w:rStyle w:val="InternetLink"/>
                  <w:rFonts w:ascii="Times New Roman;serif" w:hAnsi="Times New Roman;serif"/>
                  <w:b w:val="false"/>
                  <w:strike w:val="false"/>
                  <w:dstrike w:val="false"/>
                  <w:color w:val="000000"/>
                  <w:sz w:val="20"/>
                  <w:u w:val="none"/>
                  <w:effect w:val="none"/>
                </w:rPr>
                <w:t>ARTICLE XIII</w:t>
                <w:br/>
                <w:t>AMENDMENTS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1c84d1ee454100894526aa0027b1a3">
              <w:r>
                <w:rPr>
                  <w:rStyle w:val="InternetLink"/>
                  <w:rFonts w:ascii="Times New Roman;serif" w:hAnsi="Times New Roman;serif"/>
                  <w:b w:val="false"/>
                  <w:strike w:val="false"/>
                  <w:dstrike w:val="false"/>
                  <w:color w:val="000000"/>
                  <w:sz w:val="20"/>
                  <w:u w:val="none"/>
                  <w:effect w:val="none"/>
                </w:rPr>
                <w:t>33</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440"/>
              <w:jc w:val="left"/>
              <w:rPr/>
            </w:pPr>
            <w:hyperlink w:anchor="ibd669f609a9b47089ccf391e1b64e4a1">
              <w:r>
                <w:rPr>
                  <w:rStyle w:val="InternetLink"/>
                  <w:rFonts w:ascii="Times New Roman;serif" w:hAnsi="Times New Roman;serif"/>
                  <w:b w:val="false"/>
                  <w:strike w:val="false"/>
                  <w:dstrike w:val="false"/>
                  <w:color w:val="000000"/>
                  <w:sz w:val="20"/>
                  <w:u w:val="none"/>
                  <w:effect w:val="none"/>
                </w:rPr>
                <w:t>Section 49.    Amendments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669f609a9b47089ccf391e1b64e4a1">
              <w:r>
                <w:rPr>
                  <w:rStyle w:val="InternetLink"/>
                  <w:rFonts w:ascii="Times New Roman;serif" w:hAnsi="Times New Roman;serif"/>
                  <w:b w:val="false"/>
                  <w:strike w:val="false"/>
                  <w:dstrike w:val="false"/>
                  <w:color w:val="000000"/>
                  <w:sz w:val="20"/>
                  <w:u w:val="none"/>
                  <w:effect w:val="none"/>
                </w:rPr>
                <w:t>33</w:t>
              </w:r>
            </w:hyperlink>
          </w:p>
        </w:tc>
      </w:tr>
      <w:tr>
        <w:trPr/>
        <w:tc>
          <w:tcPr>
            <w:tcW w:w="87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8f4cca99f534065b31e9e1a5c659334">
              <w:r>
                <w:rPr>
                  <w:rStyle w:val="InternetLink"/>
                  <w:rFonts w:ascii="Times New Roman;serif" w:hAnsi="Times New Roman;serif"/>
                  <w:b w:val="false"/>
                  <w:strike w:val="false"/>
                  <w:dstrike w:val="false"/>
                  <w:color w:val="000000"/>
                  <w:sz w:val="20"/>
                  <w:u w:val="none"/>
                  <w:effect w:val="none"/>
                </w:rPr>
                <w:t>ARTICLE XIV</w:t>
                <w:br/>
                <w:t>FORUM SELECTION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f4cca99f534065b31e9e1a5c659334">
              <w:r>
                <w:rPr>
                  <w:rStyle w:val="InternetLink"/>
                  <w:rFonts w:ascii="Times New Roman;serif" w:hAnsi="Times New Roman;serif"/>
                  <w:b w:val="false"/>
                  <w:strike w:val="false"/>
                  <w:dstrike w:val="false"/>
                  <w:color w:val="000000"/>
                  <w:sz w:val="20"/>
                  <w:u w:val="none"/>
                  <w:effect w:val="non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82675"/>
                <wp:effectExtent l="0" t="0" r="0" b="0"/>
                <wp:wrapNone/>
                <wp:docPr id="6" name="Frame6"/>
                <a:graphic xmlns:a="http://schemas.openxmlformats.org/drawingml/2006/main">
                  <a:graphicData uri="http://schemas.microsoft.com/office/word/2010/wordprocessingShape">
                    <wps:wsp>
                      <wps:cNvSpPr txBox="1"/>
                      <wps:spPr>
                        <a:xfrm>
                          <a:off x="0" y="0"/>
                          <a:ext cx="6480175" cy="108267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bl>
                            <w:tblPr>
                              <w:tblW w:w="1006" w:type="dxa"/>
                              <w:jc w:val="center"/>
                              <w:tblInd w:w="0" w:type="dxa"/>
                              <w:tblLayout w:type="fixed"/>
                              <w:tblCellMar>
                                <w:top w:w="28" w:type="dxa"/>
                                <w:left w:w="28" w:type="dxa"/>
                                <w:bottom w:w="28" w:type="dxa"/>
                                <w:right w:w="28" w:type="dxa"/>
                              </w:tblCellMar>
                            </w:tblPr>
                            <w:tblGrid>
                              <w:gridCol w:w="322"/>
                              <w:gridCol w:w="283"/>
                              <w:gridCol w:w="401"/>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1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ii</w:t>
                      </w:r>
                    </w:p>
                    <w:tbl>
                      <w:tblPr>
                        <w:tblW w:w="1006" w:type="dxa"/>
                        <w:jc w:val="center"/>
                        <w:tblInd w:w="0" w:type="dxa"/>
                        <w:tblLayout w:type="fixed"/>
                        <w:tblCellMar>
                          <w:top w:w="28" w:type="dxa"/>
                          <w:left w:w="28" w:type="dxa"/>
                          <w:bottom w:w="28" w:type="dxa"/>
                          <w:right w:w="28" w:type="dxa"/>
                        </w:tblCellMar>
                      </w:tblPr>
                      <w:tblGrid>
                        <w:gridCol w:w="322"/>
                        <w:gridCol w:w="283"/>
                        <w:gridCol w:w="401"/>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1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center"/>
        <w:rPr/>
      </w:pPr>
      <w:r>
        <w:rPr>
          <w:rFonts w:ascii="Times New Roman;serif" w:hAnsi="Times New Roman;serif"/>
          <w:b/>
          <w:color w:val="000000"/>
          <w:sz w:val="20"/>
        </w:rPr>
        <w:t>AMENDED AND RESTATED BYLAWS</w:t>
        <w:br/>
        <w:t>OF</w:t>
        <w:br/>
        <w:t>INTUITIVE SURGICAL, INC</w:t>
      </w:r>
      <w:r>
        <w:rPr>
          <w:rFonts w:ascii="Times New Roman;serif" w:hAnsi="Times New Roman;serif"/>
          <w:b w:val="false"/>
          <w:color w:val="000000"/>
          <w:sz w:val="20"/>
        </w:rPr>
        <w:t>.</w:t>
      </w:r>
      <w:r>
        <w:rPr>
          <w:rFonts w:ascii="Times New Roman;serif" w:hAnsi="Times New Roman;serif"/>
          <w:b/>
          <w:color w:val="000000"/>
          <w:sz w:val="20"/>
        </w:rPr>
        <w:br/>
        <w:t>(A DELAWARE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0" w:name="i164c9efd033a4e66970e8bec87fb291a"/>
      <w:bookmarkEnd w:id="0"/>
      <w:r>
        <w:rPr>
          <w:rFonts w:ascii="Times New Roman;serif" w:hAnsi="Times New Roman;serif"/>
          <w:b/>
          <w:color w:val="000000"/>
          <w:sz w:val="20"/>
        </w:rPr>
        <w:t>ARTICLE I</w:t>
        <w:br/>
        <w:t>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 w:name="i6cf4400b4d5040a8aad95e3ebbb7ff08"/>
      <w:bookmarkEnd w:id="1"/>
      <w:r>
        <w:rPr>
          <w:rFonts w:ascii="Times New Roman;serif" w:hAnsi="Times New Roman;serif"/>
          <w:b/>
          <w:color w:val="000000"/>
          <w:sz w:val="20"/>
        </w:rPr>
        <w:t>Section 1.    Registered Office</w:t>
      </w:r>
      <w:r>
        <w:rPr>
          <w:rFonts w:ascii="Times New Roman;serif" w:hAnsi="Times New Roman;serif"/>
          <w:b w:val="false"/>
          <w:color w:val="000000"/>
          <w:sz w:val="20"/>
        </w:rPr>
        <w:t>. The registered office of the corporation in the State of Delaware shall be in the City of Wilmington, County of New Castle.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 w:name="id78e4a0f74fb41428fe2d5af53315269"/>
      <w:bookmarkEnd w:id="2"/>
      <w:r>
        <w:rPr>
          <w:rFonts w:ascii="Times New Roman;serif" w:hAnsi="Times New Roman;serif"/>
          <w:b/>
          <w:color w:val="000000"/>
          <w:sz w:val="20"/>
        </w:rPr>
        <w:t>Section 2.    Other Offices</w:t>
      </w:r>
      <w:r>
        <w:rPr>
          <w:rFonts w:ascii="Times New Roman;serif" w:hAnsi="Times New Roman;serif"/>
          <w:b w:val="false"/>
          <w:color w:val="000000"/>
          <w:sz w:val="20"/>
        </w:rPr>
        <w:t>. The corporation shall also have and maintain an office or principal place of business at such place as may be fixed by the corporation’s board of directors (the “Board of Directors”), and may also have offices at such other places, both within and without the State of Delaware as the Board of Directors may from time to time determine or the business of the corporation may require.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3" w:name="i3924029e0d1d49469d9fa54f9e04e979"/>
      <w:bookmarkEnd w:id="3"/>
      <w:r>
        <w:rPr>
          <w:rFonts w:ascii="Times New Roman;serif" w:hAnsi="Times New Roman;serif"/>
          <w:b/>
          <w:color w:val="000000"/>
          <w:sz w:val="20"/>
        </w:rPr>
        <w:t>ARTICLE II</w:t>
        <w:br/>
        <w:t>CORPORATE SEAL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4" w:name="ibf4a43a2d746467da7f01e06afa0fc2a"/>
      <w:bookmarkEnd w:id="4"/>
      <w:r>
        <w:rPr>
          <w:rFonts w:ascii="Times New Roman;serif" w:hAnsi="Times New Roman;serif"/>
          <w:b/>
          <w:color w:val="000000"/>
          <w:sz w:val="20"/>
        </w:rPr>
        <w:t>Section 3.    Corporate Seal</w:t>
      </w:r>
      <w:r>
        <w:rPr>
          <w:rFonts w:ascii="Times New Roman;serif" w:hAnsi="Times New Roman;serif"/>
          <w:b w:val="false"/>
          <w:color w:val="000000"/>
          <w:sz w:val="20"/>
        </w:rPr>
        <w:t>. The corporate seal shall consist of a die bearing the name of the corporation and the inscription, “Corporate Seal-Delaware.” Said seal may be used by causing it or a facsimile thereof to be impressed or affixed or reproduced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
        <w:jc w:val="center"/>
        <w:rPr>
          <w:rFonts w:ascii="Times New Roman;serif" w:hAnsi="Times New Roman;serif"/>
          <w:b/>
          <w:color w:val="000000"/>
          <w:sz w:val="20"/>
        </w:rPr>
      </w:pPr>
      <w:bookmarkStart w:id="5" w:name="ibf1116b73f1f425888e0c17c52562e4c"/>
      <w:bookmarkEnd w:id="5"/>
      <w:r>
        <w:rPr>
          <w:rFonts w:ascii="Times New Roman;serif" w:hAnsi="Times New Roman;serif"/>
          <w:b/>
          <w:color w:val="000000"/>
          <w:sz w:val="20"/>
        </w:rPr>
        <w:t>ARTICLE III</w:t>
        <w:br/>
        <w:t>STOCKHOLDERS’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6" w:name="i92f8f539650e482e91ee52c44953498e"/>
      <w:bookmarkEnd w:id="6"/>
      <w:r>
        <w:rPr>
          <w:rFonts w:ascii="Times New Roman;serif" w:hAnsi="Times New Roman;serif"/>
          <w:b/>
          <w:color w:val="000000"/>
          <w:sz w:val="20"/>
        </w:rPr>
        <w:t>Section 4.    Place of Meetings</w:t>
      </w:r>
      <w:r>
        <w:rPr>
          <w:rFonts w:ascii="Times New Roman;serif" w:hAnsi="Times New Roman;serif"/>
          <w:b w:val="false"/>
          <w:color w:val="000000"/>
          <w:sz w:val="20"/>
        </w:rPr>
        <w:t xml:space="preserve">. Meetings of the stockholders of the corporation shall be held at such place (if any), either within or without the State of Delaware, as may be designated from time to time by the Board of Directors, or, if not so designated, then at the office of the corporation required to be maintained pursuant to Section 2 hereof;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Board of Directors may, in its sole discretion, determine that the meeting shall not be held at any place, but may instead be held solely by means of remote communication as authorized by Section 211(a)(2) of the General Corporation Law of the State of Delaware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7" w:name="i40e85a5cbbd444f4850be64a3d805878"/>
      <w:bookmarkEnd w:id="7"/>
      <w:r>
        <w:rPr>
          <w:rFonts w:ascii="Times New Roman;serif" w:hAnsi="Times New Roman;serif"/>
          <w:b/>
          <w:color w:val="000000"/>
          <w:sz w:val="20"/>
        </w:rPr>
        <w:t>Section 5.    Annual Meetings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8" w:name="i8bf567601b6645d58ccb9c7ab633c475"/>
      <w:bookmarkEnd w:id="8"/>
      <w:r>
        <w:rPr>
          <w:rFonts w:ascii="Times New Roman;serif" w:hAnsi="Times New Roman;serif"/>
          <w:b w:val="false"/>
          <w:color w:val="000000"/>
          <w:sz w:val="20"/>
        </w:rPr>
        <w:t>(a)    The annual meeting of the stockholders of the corporation, for the purpose of election of directors and for such other business as may lawfully come before it shall be held on such date and at such time as may be designated from time to time by the Board of Directors. The Board of Directors may postpone, reschedule or cancel any annual meeting of stockholders. For nominations or other business to be properly brought before an annual meeting by a stockholder, (i) such other business must be a proper matter for stockholder action under the DGCL; (ii) if the stockholder has provided the corporation with a Solicitation Notice (as defined in these Sections 5(b)(2)(ii) and 5(c)(2)(ii)), such stockholder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shares representing at least 67% of the voting power of shares entitled to vote on the election of directors in support of director nominees other than the corporation’s nominees, in accordance with Rule 14a-19 promulgated under the Securities Exchange Act of 1934, as amended, and the rules and regulations thereunder (as so amended and inclusive of such rules and regulations, the “Exchange Act”), and must, in either case, have included in such materials the Solicitation Notice, (iii) if no Solicitation Notice relating thereto has been timely provided pursuant to this section, the stockholder proposing such business or nomination must not have solicited a number of proxies sufficient to have required the delivery of such a Solicitation Notice under this Section 5, and (iv) such stockholder must comply with this Section 5 with respect to such nominations or other business.</w:t>
      </w:r>
    </w:p>
    <w:p>
      <w:pPr>
        <w:pStyle w:val="TextBody"/>
        <w:bidi w:val="0"/>
        <w:spacing w:lineRule="auto" w:line="288" w:before="120" w:after="120"/>
        <w:ind w:left="0" w:right="0" w:firstLine="720"/>
        <w:jc w:val="left"/>
        <w:rPr/>
      </w:pPr>
      <w:bookmarkStart w:id="9" w:name="ibcac85a55dd64837b900f808de6a73f9"/>
      <w:bookmarkEnd w:id="9"/>
      <w:r>
        <w:rPr>
          <w:rFonts w:ascii="Times New Roman;serif" w:hAnsi="Times New Roman;serif"/>
          <w:b w:val="false"/>
          <w:color w:val="000000"/>
          <w:sz w:val="20"/>
        </w:rPr>
        <w:t>(b)    </w:t>
      </w:r>
      <w:r>
        <w:rPr>
          <w:rFonts w:ascii="Times New Roman;serif" w:hAnsi="Times New Roman;serif"/>
          <w:b/>
          <w:color w:val="000000"/>
          <w:sz w:val="20"/>
        </w:rPr>
        <w:t>Notice of Business to be Brought Before a Meeting</w:t>
      </w:r>
      <w:r>
        <w:rPr>
          <w:rFonts w:ascii="Times New Roman;serif" w:hAnsi="Times New Roman;serif"/>
          <w:b w:val="false"/>
          <w:color w:val="000000"/>
          <w:sz w:val="20"/>
        </w:rPr>
        <w:t xml:space="preserve">. At an annual meeting of the stockholders, only such business shall be conducted as shall have been properly brought before the meeting. To be properly brought before an annual meeting, business must be (i) brought before the meeting by the corporation and specified in the notice of meeting given by or at the direction of the Board of Directors, (ii) brought before the meeting by or at the direction of the Board of Directors, or (iii) otherwise properly brought before the meeting by a stockholder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present in person who (A) was a stockholder of record both at the time of giving the notice provided for in this Section 5 and at the time of the meeting, (B) is entitled to vote at the meeting, and (C) has complied with this Section 5 as to such business. Except for proposals properly made in accordance with Rule 14a-8 under the Exchange Act, and included in the notice of meeting given by or at the direction of the Board of Directors, the foregoing clause (iii) shall be the exclusive means for a stockholder to propose business to be brought before an annual meeting of the stockholders. For purposes of this Section 5, “present in person” shall mean that the stockholder proposing that the business be brought before the annual meeting of the corporation,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of Directors must comply with Section 5(c) and this Section 5(b) shall not be applicable to nominations, except as expressly provided in Section 5(c).</w:t>
      </w:r>
    </w:p>
    <w:p>
      <w:pPr>
        <w:pStyle w:val="TextBody"/>
        <w:bidi w:val="0"/>
        <w:spacing w:lineRule="auto" w:line="288" w:before="120" w:after="120"/>
        <w:ind w:left="0" w:right="0" w:firstLine="1440"/>
        <w:jc w:val="left"/>
        <w:rPr/>
      </w:pPr>
      <w:bookmarkStart w:id="10" w:name="i1a548bf179304e55b64c72838cc656bc"/>
      <w:bookmarkEnd w:id="10"/>
      <w:r>
        <w:rPr>
          <w:rFonts w:ascii="Times New Roman;serif" w:hAnsi="Times New Roman;serif"/>
          <w:b w:val="false"/>
          <w:color w:val="000000"/>
          <w:sz w:val="20"/>
        </w:rPr>
        <w:t xml:space="preserve">(1)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5(b). To be timely, a stockholder’s notice must be delivered to, or mailed and received at, the principal executive offices of the corporation by the close of business not less than ninety (90) days nor more than one hundred twenty (120) days prior to the one-year anniversary of the preceding year’s annual meeting;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Times New Roman;serif" w:hAnsi="Times New Roman;serif"/>
          <w:b w:val="false"/>
          <w:color w:val="000000"/>
          <w:sz w:val="16"/>
        </w:rPr>
        <w:t>th</w:t>
      </w:r>
      <w:r>
        <w:rPr>
          <w:rFonts w:ascii="Times New Roman;serif" w:hAnsi="Times New Roman;serif"/>
          <w:b w:val="false"/>
          <w:color w:val="000000"/>
          <w:sz w:val="20"/>
        </w:rPr>
        <w:t>) day prior to such annual meeting or, if later, the tenth (10</w:t>
      </w:r>
      <w:r>
        <w:rPr>
          <w:rFonts w:ascii="Times New Roman;serif" w:hAnsi="Times New Roman;serif"/>
          <w:b w:val="false"/>
          <w:color w:val="000000"/>
          <w:sz w:val="16"/>
        </w:rPr>
        <w:t>th</w:t>
      </w:r>
      <w:r>
        <w:rPr>
          <w:rFonts w:ascii="Times New Roman;serif" w:hAnsi="Times New Roman;serif"/>
          <w:b w:val="false"/>
          <w:color w:val="000000"/>
          <w:sz w:val="20"/>
        </w:rPr>
        <w:t>) day following the day on which public announcement of the date of such annual meeting was first made (such notice within such time periods, “Timely Notice”). In no event shall any adjournment, postponement or recess of an annual meeting or the announcement thereof commence a new time period (or extend any time period) for the giving of Timely Notice as described above.</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11" w:name="i6a30333212694ac297c46d48cf7bb35a"/>
      <w:bookmarkEnd w:id="11"/>
      <w:r>
        <w:rPr>
          <w:rFonts w:ascii="Times New Roman;serif" w:hAnsi="Times New Roman;serif"/>
          <w:b w:val="false"/>
          <w:color w:val="000000"/>
          <w:sz w:val="20"/>
        </w:rPr>
        <w:t>(2)    To be in proper form for purposes of this Section 5(b), a stockholder’s notice to the Secretary shall set forth:</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2" w:name="i00706950500d4fa39d596d427f1e9d8c"/>
      <w:bookmarkEnd w:id="12"/>
      <w:r>
        <w:rPr>
          <w:rFonts w:ascii="Times New Roman;serif" w:hAnsi="Times New Roman;serif"/>
          <w:b w:val="false"/>
          <w:color w:val="000000"/>
          <w:sz w:val="20"/>
        </w:rPr>
        <w:t>(i)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“Stockholder Information”);</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3" w:name="i37a51bcc4dda4d55a47a0600626fffc8"/>
      <w:bookmarkEnd w:id="13"/>
      <w:r>
        <w:rPr>
          <w:rFonts w:ascii="Times New Roman;serif" w:hAnsi="Times New Roman;serif"/>
          <w:b w:val="false"/>
          <w:color w:val="000000"/>
          <w:sz w:val="20"/>
        </w:rPr>
        <w:t>(ii)    As to each Proposing Person, whether such Proposing Person intends to deliver a proxy statement and form of proxy to holders of at least the percentage of the corporation’s voting shares required under applicable law to carry the proposal (an affirmative statement of such intent, a “Solicitation Notice”);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4" w:name="ia54a73eede99426f93bce0505cb4c88e"/>
      <w:bookmarkEnd w:id="14"/>
      <w:r>
        <w:rPr>
          <w:rFonts w:ascii="Times New Roman;serif" w:hAnsi="Times New Roman;serif"/>
          <w:b w:val="false"/>
          <w:color w:val="000000"/>
          <w:sz w:val="20"/>
        </w:rPr>
        <w:t xml:space="preserve">(iii)    As to each Proposing Person, </w:t>
      </w:r>
    </w:p>
    <w:p>
      <w:pPr>
        <w:pStyle w:val="TextBody"/>
        <w:bidi w:val="0"/>
        <w:spacing w:lineRule="auto" w:line="288" w:before="120" w:after="120"/>
        <w:jc w:val="left"/>
        <w:rPr>
          <w:rFonts w:ascii="Times New Roman;serif" w:hAnsi="Times New Roman;serif"/>
          <w:b w:val="false"/>
          <w:color w:val="000000"/>
          <w:sz w:val="20"/>
        </w:rPr>
      </w:pPr>
      <w:bookmarkStart w:id="15" w:name="i00b438b2d36f43bd986a8ce318d5adb5"/>
      <w:bookmarkEnd w:id="15"/>
      <w:r>
        <w:rPr>
          <w:rFonts w:ascii="Times New Roman;serif" w:hAnsi="Times New Roman;serif"/>
          <w:b w:val="false"/>
          <w:color w:val="000000"/>
          <w:sz w:val="20"/>
        </w:rPr>
        <w:t xml:space="preserve">(A) the material terms and conditions of any “derivative securities”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(“Synthetic Equity Position”) that is, directly or indirectly, held or maintained by, held for the benefit of, or involving such Proposing Person, including,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bookmarkStart w:id="16" w:name="i2dc241e6420f4c69813901fa772927b1"/>
      <w:bookmarkEnd w:id="16"/>
      <w:r>
        <w:rPr>
          <w:rFonts w:ascii="Times New Roman;serif" w:hAnsi="Times New Roman;serif"/>
          <w:b w:val="false"/>
          <w:color w:val="000000"/>
          <w:sz w:val="20"/>
        </w:rPr>
        <w:t>(1) 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pStyle w:val="TextBody"/>
        <w:bidi w:val="0"/>
        <w:spacing w:lineRule="auto" w:line="288" w:before="120" w:after="120"/>
        <w:jc w:val="left"/>
        <w:rPr>
          <w:rFonts w:ascii="Times New Roman;serif" w:hAnsi="Times New Roman;serif"/>
          <w:b w:val="false"/>
          <w:color w:val="000000"/>
          <w:sz w:val="20"/>
        </w:rPr>
      </w:pPr>
      <w:bookmarkStart w:id="17" w:name="ib5c6756ca5a248e49a43842716120e97"/>
      <w:bookmarkEnd w:id="17"/>
      <w:r>
        <w:rPr>
          <w:rFonts w:ascii="Times New Roman;serif" w:hAnsi="Times New Roman;serif"/>
          <w:b w:val="false"/>
          <w:color w:val="000000"/>
          <w:sz w:val="20"/>
        </w:rPr>
        <w:t xml:space="preserve">(2) 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 </w:t>
      </w:r>
    </w:p>
    <w:p>
      <w:pPr>
        <w:pStyle w:val="TextBody"/>
        <w:bidi w:val="0"/>
        <w:spacing w:lineRule="auto" w:line="288" w:before="120" w:after="120"/>
        <w:jc w:val="left"/>
        <w:rPr>
          <w:rFonts w:ascii="Times New Roman;serif" w:hAnsi="Times New Roman;serif"/>
          <w:b w:val="false"/>
          <w:color w:val="000000"/>
          <w:sz w:val="20"/>
        </w:rPr>
      </w:pPr>
      <w:bookmarkStart w:id="18" w:name="ib287ed9392224b7893ef53ee32ba093b"/>
      <w:bookmarkEnd w:id="18"/>
      <w:r>
        <w:rPr>
          <w:rFonts w:ascii="Times New Roman;serif" w:hAnsi="Times New Roman;serif"/>
          <w:b w:val="false"/>
          <w:color w:val="000000"/>
          <w:sz w:val="20"/>
        </w:rPr>
        <w:t xml:space="preserve">(3) any contract, derivative, swap or other transaction or series of transactions designed to </w:t>
      </w:r>
    </w:p>
    <w:p>
      <w:pPr>
        <w:pStyle w:val="TextBody"/>
        <w:bidi w:val="0"/>
        <w:spacing w:lineRule="auto" w:line="288" w:before="120" w:after="120"/>
        <w:jc w:val="left"/>
        <w:rPr>
          <w:rFonts w:ascii="Times New Roman;serif" w:hAnsi="Times New Roman;serif"/>
          <w:b w:val="false"/>
          <w:color w:val="000000"/>
          <w:sz w:val="20"/>
        </w:rPr>
      </w:pPr>
      <w:bookmarkStart w:id="19" w:name="i7eb52cff338b41fd98c6505bd972deb8"/>
      <w:bookmarkEnd w:id="19"/>
      <w:r>
        <w:rPr>
          <w:rFonts w:ascii="Times New Roman;serif" w:hAnsi="Times New Roman;serif"/>
          <w:b w:val="false"/>
          <w:color w:val="000000"/>
          <w:sz w:val="20"/>
        </w:rPr>
        <w:t xml:space="preserve">(x) produce economic benefits and risks that correspond substantially to the ownership of any class or series of shares of capital stock of the corporation, </w:t>
      </w:r>
    </w:p>
    <w:p>
      <w:pPr>
        <w:pStyle w:val="TextBody"/>
        <w:bidi w:val="0"/>
        <w:spacing w:lineRule="auto" w:line="288" w:before="120" w:after="120"/>
        <w:jc w:val="left"/>
        <w:rPr>
          <w:rFonts w:ascii="Times New Roman;serif" w:hAnsi="Times New Roman;serif"/>
          <w:b w:val="false"/>
          <w:color w:val="000000"/>
          <w:sz w:val="20"/>
        </w:rPr>
      </w:pPr>
      <w:bookmarkStart w:id="20" w:name="i0bdaed6ee00f4cd1b0d1ce1c6c795a93"/>
      <w:bookmarkEnd w:id="20"/>
      <w:r>
        <w:rPr>
          <w:rFonts w:ascii="Times New Roman;serif" w:hAnsi="Times New Roman;serif"/>
          <w:b w:val="false"/>
          <w:color w:val="000000"/>
          <w:sz w:val="20"/>
        </w:rPr>
        <w:t>(y) mitigate any loss relating to, reduce the economic risk (of ownership or otherwise) of, or manage the risk of share price decrease in, any class or series of shares of capital stock of the corporation, or</w:t>
      </w:r>
    </w:p>
    <w:p>
      <w:pPr>
        <w:pStyle w:val="TextBody"/>
        <w:bidi w:val="0"/>
        <w:spacing w:lineRule="auto" w:line="288" w:before="120" w:after="120"/>
        <w:jc w:val="left"/>
        <w:rPr>
          <w:rFonts w:ascii="Times New Roman;serif" w:hAnsi="Times New Roman;serif"/>
          <w:b w:val="false"/>
          <w:color w:val="000000"/>
          <w:sz w:val="20"/>
        </w:rPr>
      </w:pPr>
      <w:bookmarkStart w:id="21" w:name="i6b52cf181b0e4cbc83d23f4a5bad0935"/>
      <w:bookmarkEnd w:id="21"/>
      <w:r>
        <w:rPr>
          <w:rFonts w:ascii="Times New Roman;serif" w:hAnsi="Times New Roman;serif"/>
          <w:b w:val="false"/>
          <w:color w:val="000000"/>
          <w:sz w:val="20"/>
        </w:rPr>
        <w:t xml:space="preserve">(z) increase or decrease the voting power in respect of any class or series of shares of capital stock of the corporation held or maintained by, held for the benefit of, or involving such Proposing Person, </w:t>
      </w:r>
    </w:p>
    <w:p>
      <w:pPr>
        <w:pStyle w:val="TextBody"/>
        <w:bidi w:val="0"/>
        <w:spacing w:lineRule="auto" w:line="288" w:before="120" w:after="120"/>
        <w:jc w:val="left"/>
        <w:rPr>
          <w:rFonts w:ascii="Times New Roman;serif" w:hAnsi="Times New Roman;serif"/>
          <w:b w:val="false"/>
          <w:color w:val="000000"/>
          <w:sz w:val="20"/>
        </w:rPr>
      </w:pPr>
      <w:bookmarkStart w:id="22" w:name="idb126e84c1804296996cc647fe09a1ae"/>
      <w:bookmarkEnd w:id="22"/>
      <w:r>
        <w:rPr>
          <w:rFonts w:ascii="Times New Roman;serif" w:hAnsi="Times New Roman;serif"/>
          <w:b w:val="false"/>
          <w:color w:val="000000"/>
          <w:sz w:val="20"/>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w:t>
      </w:r>
    </w:p>
    <w:p>
      <w:pPr>
        <w:pStyle w:val="TextBody"/>
        <w:bidi w:val="0"/>
        <w:spacing w:lineRule="auto" w:line="288" w:before="120" w:after="120"/>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serif" w:hAnsi="Times New Roman;serif"/>
          <w:b w:val="false"/>
          <w:i/>
          <w:color w:val="000000"/>
          <w:sz w:val="20"/>
        </w:rPr>
        <w:t>provided, further</w:t>
      </w:r>
      <w:r>
        <w:rPr>
          <w:rFonts w:ascii="Times New Roman;serif" w:hAnsi="Times New Roman;serif"/>
          <w:b w:val="false"/>
          <w:color w:val="000000"/>
          <w:sz w:val="20"/>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underlying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pStyle w:val="TextBody"/>
        <w:bidi w:val="0"/>
        <w:spacing w:lineRule="auto" w:line="288" w:before="120" w:after="120"/>
        <w:jc w:val="left"/>
        <w:rPr>
          <w:rFonts w:ascii="Times New Roman;serif" w:hAnsi="Times New Roman;serif"/>
          <w:b w:val="false"/>
          <w:color w:val="000000"/>
          <w:sz w:val="20"/>
        </w:rPr>
      </w:pPr>
      <w:bookmarkStart w:id="23" w:name="ie7adbf74589b4099a4b25807d1e5c8ba"/>
      <w:bookmarkEnd w:id="23"/>
      <w:r>
        <w:rPr>
          <w:rFonts w:ascii="Times New Roman;serif" w:hAnsi="Times New Roman;serif"/>
          <w:b w:val="false"/>
          <w:color w:val="000000"/>
          <w:sz w:val="20"/>
        </w:rPr>
        <w:t xml:space="preserve">(B) a description of any agreement, arrangement or understanding with respect to any rights to dividends on the shares of any class or series of shares of capital stock of the corporation owned beneficially by such Proposing Person that are separated or separable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pursuant to such agreement, arrangement or understanding from the underlying shares of capital stock of the corporation,</w:t>
      </w:r>
    </w:p>
    <w:p>
      <w:pPr>
        <w:pStyle w:val="TextBody"/>
        <w:bidi w:val="0"/>
        <w:spacing w:lineRule="auto" w:line="288" w:before="120" w:after="120"/>
        <w:jc w:val="left"/>
        <w:rPr>
          <w:rFonts w:ascii="Times New Roman;serif" w:hAnsi="Times New Roman;serif"/>
          <w:b w:val="false"/>
          <w:color w:val="000000"/>
          <w:sz w:val="20"/>
        </w:rPr>
      </w:pPr>
      <w:bookmarkStart w:id="24" w:name="i7313f1caf68a4d0588b92941bf787843"/>
      <w:bookmarkEnd w:id="24"/>
      <w:r>
        <w:rPr>
          <w:rFonts w:ascii="Times New Roman;serif" w:hAnsi="Times New Roman;serif"/>
          <w:b w:val="false"/>
          <w:color w:val="000000"/>
          <w:sz w:val="20"/>
        </w:rPr>
        <w:t xml:space="preserve">(C) any material pending or threatened legal proceeding in which such Proposing Person is a party or material participant involving the corporation or any of its officers or directors, or any affiliate of the corporation, </w:t>
      </w:r>
    </w:p>
    <w:p>
      <w:pPr>
        <w:pStyle w:val="TextBody"/>
        <w:bidi w:val="0"/>
        <w:spacing w:lineRule="auto" w:line="288" w:before="120" w:after="120"/>
        <w:jc w:val="left"/>
        <w:rPr>
          <w:rFonts w:ascii="Times New Roman;serif" w:hAnsi="Times New Roman;serif"/>
          <w:b w:val="false"/>
          <w:color w:val="000000"/>
          <w:sz w:val="20"/>
        </w:rPr>
      </w:pPr>
      <w:bookmarkStart w:id="25" w:name="i62ce89f137ec4b17b84470a879212b7b"/>
      <w:bookmarkEnd w:id="25"/>
      <w:r>
        <w:rPr>
          <w:rFonts w:ascii="Times New Roman;serif" w:hAnsi="Times New Roman;serif"/>
          <w:b w:val="false"/>
          <w:color w:val="000000"/>
          <w:sz w:val="20"/>
        </w:rPr>
        <w:t xml:space="preserve">(D) any beneficial ownership of any securities or any Synthetic Equity Position in any company that, based on publicly available information or the Proposing Person’s knowledge, is a “competitor” of the corporation as defined under Section 8 of the Clayton Antitrust Act of 1914, as amended (any such company, a “Principal Competitor”), that is held by the Proposing Person and has a market value of at least $100,000; </w:t>
      </w:r>
    </w:p>
    <w:p>
      <w:pPr>
        <w:pStyle w:val="TextBody"/>
        <w:bidi w:val="0"/>
        <w:spacing w:lineRule="auto" w:line="288" w:before="120" w:after="120"/>
        <w:jc w:val="left"/>
        <w:rPr>
          <w:rFonts w:ascii="Times New Roman;serif" w:hAnsi="Times New Roman;serif"/>
          <w:b w:val="false"/>
          <w:color w:val="000000"/>
          <w:sz w:val="20"/>
        </w:rPr>
      </w:pPr>
      <w:bookmarkStart w:id="26" w:name="icbfabfd5364b43cbb92d9e9e0b97ef12"/>
      <w:bookmarkEnd w:id="26"/>
      <w:r>
        <w:rPr>
          <w:rFonts w:ascii="Times New Roman;serif" w:hAnsi="Times New Roman;serif"/>
          <w:b w:val="false"/>
          <w:color w:val="000000"/>
          <w:sz w:val="20"/>
        </w:rPr>
        <w:t xml:space="preserve">(E) any other material relationship between such Proposing Person, on the one hand, and the corporation, any affiliate of the corporation, or any Principal Competitor, on the other hand, </w:t>
      </w:r>
    </w:p>
    <w:p>
      <w:pPr>
        <w:pStyle w:val="TextBody"/>
        <w:bidi w:val="0"/>
        <w:spacing w:lineRule="auto" w:line="288" w:before="120" w:after="120"/>
        <w:jc w:val="left"/>
        <w:rPr>
          <w:rFonts w:ascii="Times New Roman;serif" w:hAnsi="Times New Roman;serif"/>
          <w:b w:val="false"/>
          <w:color w:val="000000"/>
          <w:sz w:val="20"/>
        </w:rPr>
      </w:pPr>
      <w:bookmarkStart w:id="27" w:name="i339d3539c73f447b92e1731dceca5a61"/>
      <w:bookmarkEnd w:id="27"/>
      <w:r>
        <w:rPr>
          <w:rFonts w:ascii="Times New Roman;serif" w:hAnsi="Times New Roman;serif"/>
          <w:b w:val="false"/>
          <w:color w:val="000000"/>
          <w:sz w:val="20"/>
        </w:rPr>
        <w:t xml:space="preserve">(F) any direct or indirect material interest in any material contract or agreement of such Proposing Person with the corporation, any affiliate of the corporation or any Principal Competitor (including, in any such case, any employment agreement, collective bargaining agreement or consulting agreement), </w:t>
      </w:r>
    </w:p>
    <w:p>
      <w:pPr>
        <w:pStyle w:val="TextBody"/>
        <w:bidi w:val="0"/>
        <w:spacing w:lineRule="auto" w:line="288" w:before="120" w:after="120"/>
        <w:jc w:val="left"/>
        <w:rPr>
          <w:rFonts w:ascii="Times New Roman;serif" w:hAnsi="Times New Roman;serif"/>
          <w:b w:val="false"/>
          <w:color w:val="000000"/>
          <w:sz w:val="20"/>
        </w:rPr>
      </w:pPr>
      <w:bookmarkStart w:id="28" w:name="id6b4cf1451434947b5c20988ea0a080a"/>
      <w:bookmarkEnd w:id="28"/>
      <w:r>
        <w:rPr>
          <w:rFonts w:ascii="Times New Roman;serif" w:hAnsi="Times New Roman;serif"/>
          <w:b w:val="false"/>
          <w:color w:val="000000"/>
          <w:sz w:val="20"/>
        </w:rPr>
        <w:t>(G) 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pStyle w:val="TextBody"/>
        <w:bidi w:val="0"/>
        <w:spacing w:lineRule="auto" w:line="288" w:before="120" w:after="120"/>
        <w:jc w:val="left"/>
        <w:rPr>
          <w:rFonts w:ascii="Times New Roman;serif" w:hAnsi="Times New Roman;serif"/>
          <w:b w:val="false"/>
          <w:color w:val="000000"/>
          <w:sz w:val="20"/>
        </w:rPr>
      </w:pPr>
      <w:bookmarkStart w:id="29" w:name="i54c14b68c05e4bc896770087e3e9364e"/>
      <w:bookmarkEnd w:id="29"/>
      <w:r>
        <w:rPr>
          <w:rFonts w:ascii="Times New Roman;serif" w:hAnsi="Times New Roman;serif"/>
          <w:b w:val="false"/>
          <w:color w:val="000000"/>
          <w:sz w:val="20"/>
        </w:rPr>
        <w:t>(H) a representation that (I) the Proposing Person has not breached any agreement, arrangement or understanding with the corporation except as disclosed to the corporation pursuant hereto and (II) such Proposing Person has complied, and will comply, with all applicable requirements of state law and the Exchange Act with respect to the matters relating to this Section 5(b),</w:t>
      </w:r>
    </w:p>
    <w:p>
      <w:pPr>
        <w:pStyle w:val="TextBody"/>
        <w:bidi w:val="0"/>
        <w:spacing w:lineRule="auto" w:line="288" w:before="120" w:after="120"/>
        <w:jc w:val="left"/>
        <w:rPr>
          <w:rFonts w:ascii="Times New Roman;serif" w:hAnsi="Times New Roman;serif"/>
          <w:b w:val="false"/>
          <w:color w:val="000000"/>
          <w:sz w:val="20"/>
        </w:rPr>
      </w:pPr>
      <w:bookmarkStart w:id="30" w:name="if9f394f9d4d44640ae105f04f7b7bab5"/>
      <w:bookmarkEnd w:id="30"/>
      <w:r>
        <w:rPr>
          <w:rFonts w:ascii="Times New Roman;serif" w:hAnsi="Times New Roman;serif"/>
          <w:b w:val="false"/>
          <w:color w:val="000000"/>
          <w:sz w:val="20"/>
        </w:rPr>
        <w:t xml:space="preserve">(I) all information that would be required to be set forth in a Schedule 13D filed pursuant to Rule 13d-1(a) under the Exchange Act or an amendment pursuant to Rule 13d-2(a) under the Exchange Act if such a statement were required to be filed under the Exchange Act by such Proposing Person with respect to the corporation (regardless of whether such person or entity is actually required to file a Schedule 13D), including a description of any agreement, arrangement or understanding that would be required to be disclosed pursuant to Item 5 or Item 6 of Schedule 13D, </w:t>
      </w:r>
    </w:p>
    <w:p>
      <w:pPr>
        <w:pStyle w:val="TextBody"/>
        <w:bidi w:val="0"/>
        <w:spacing w:lineRule="auto" w:line="288" w:before="120" w:after="120"/>
        <w:jc w:val="left"/>
        <w:rPr/>
      </w:pPr>
      <w:bookmarkStart w:id="31" w:name="ibf6aed1f08994b0cbb232ba3bba47986"/>
      <w:bookmarkEnd w:id="31"/>
      <w:r>
        <w:rPr>
          <w:rFonts w:ascii="Times New Roman;serif" w:hAnsi="Times New Roman;serif"/>
          <w:b w:val="false"/>
          <w:color w:val="000000"/>
          <w:sz w:val="20"/>
        </w:rPr>
        <w:t xml:space="preserve">(J)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and any such information that would be required if the creation, termination or modification of Synthetic Equity Positions were treated the same as trading in the securities of the corporation under Section 14(a) of the Exchange Act, (the disclosures to be made pursuant to the foregoing clauses (A) through (J) are referred to as “Disclosable Interests”);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120"/>
        <w:ind w:left="0" w:right="0" w:firstLine="2160"/>
        <w:jc w:val="left"/>
        <w:rPr/>
      </w:pPr>
      <w:bookmarkStart w:id="32" w:name="iea8a461c14014e979c73840ea1f2b3a4"/>
      <w:bookmarkEnd w:id="32"/>
      <w:r>
        <w:rPr>
          <w:rFonts w:ascii="Times New Roman;serif" w:hAnsi="Times New Roman;serif"/>
          <w:b w:val="false"/>
          <w:color w:val="000000"/>
          <w:sz w:val="20"/>
        </w:rPr>
        <w:t xml:space="preserve">(iv)    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serif" w:hAnsi="Times New Roman;serif"/>
          <w:b w:val="false"/>
          <w:i/>
          <w:color w:val="000000"/>
          <w:sz w:val="20"/>
        </w:rPr>
        <w:t>provided</w:t>
      </w:r>
      <w:r>
        <w:rPr>
          <w:rFonts w:ascii="Times New Roman;serif" w:hAnsi="Times New Roman;serif"/>
          <w:b w:val="false"/>
          <w:color w:val="000000"/>
          <w:sz w:val="20"/>
        </w:rPr>
        <w:t>, that the disclosures required by this paragraph (iv)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lineRule="auto" w:line="288" w:before="120" w:after="120"/>
        <w:jc w:val="left"/>
        <w:rPr/>
      </w:pPr>
      <w:r>
        <w:rPr>
          <w:rFonts w:ascii="Times New Roman;serif" w:hAnsi="Times New Roman;serif"/>
          <w:b w:val="false"/>
          <w:color w:val="000000"/>
          <w:sz w:val="20"/>
        </w:rPr>
        <w:t>For purposes of this Section 5(b), the term “Proposing Person”</w:t>
      </w:r>
      <w:r>
        <w:rPr>
          <w:color w:val="000000"/>
        </w:rPr>
        <w:t xml:space="preserve"> </w:t>
      </w:r>
      <w:r>
        <w:rPr>
          <w:rFonts w:ascii="Times New Roman;serif" w:hAnsi="Times New Roman;serif"/>
          <w:b w:val="false"/>
          <w:color w:val="000000"/>
          <w:sz w:val="20"/>
        </w:rPr>
        <w:t>shall mean (i) the stockholder providing the notice of business proposed to be brought before an annual meeting, (ii) the beneficial owner or beneficial owners, if different, on whose behalf the notice of the business proposed to be brought before the annual meeting is made, (iii) any person or entity who is a member of a group (as such term is used in Rule 13d-5 under the Exchange Act) with such stockholder or beneficial owner(s) with respect to acquiring, holding, voting or disposing of any securities of the corporation, (iv) any affiliate or associate (each as defined in Rule 12b-2 under the Exchange Act) of such stockholder or such beneficial owner(s), (v) any participant (as defined in paragraphs (a)(ii)-(vi) of Instruction 3 to Item 4 of Schedule 14A) with such stockholder or beneficial owner(s) with respect to any proposed business or nomination, as applicable, under these Bylaws, (vi) any beneficial owner of shares of stock of the corporation owned of record by such stockholder and (vii) any proposed person whom such stockholder or beneficial owner(s) proposes to nominate for election or reelection as a director in accordance with Section 5(c) of these Bylaws.</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33" w:name="if8f0254eba6546eeb1a9e02c54ff27f9"/>
      <w:bookmarkEnd w:id="33"/>
      <w:r>
        <w:rPr>
          <w:rFonts w:ascii="Times New Roman;serif" w:hAnsi="Times New Roman;serif"/>
          <w:b w:val="false"/>
          <w:color w:val="000000"/>
          <w:sz w:val="20"/>
        </w:rPr>
        <w:t>(3)    The Board of Directors may request that any Proposing Person furnish such additional information that would reasonably be expected to be material to a reasonable stockholder’s understanding of (i) any item of business proposed by such Proposing Person under this Section 5(b) or (ii) the solicitation of proxies from the corporation’s stockholders by the Proposing Person. Such Proposing Person shall provide such additional information within ten (10) days after it has been requested by the Board of Directors.</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34" w:name="ie0c2521a47c34d6dbea00dbaad011e3f"/>
      <w:bookmarkEnd w:id="34"/>
      <w:r>
        <w:rPr>
          <w:rFonts w:ascii="Times New Roman;serif" w:hAnsi="Times New Roman;serif"/>
          <w:b w:val="false"/>
          <w:color w:val="000000"/>
          <w:sz w:val="20"/>
        </w:rPr>
        <w:t>(4)    If any information submitted pursuant to this Section 5(b) by any Proposing Person proposing business for consideration at a stockholder meeting is inaccurate in any material respect (as determined by the Board of Directors or a committee thereof), such information may be deemed not to have been provided in accordance with this Section 5(b). A Proposing Person shall notify the Secretary in writing at the principal executive offices of the corporation of any material inaccuracy or change in any information submitted pursuant to this Section 5(b)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Proposing Person. Upon written request of the Secretary on behalf of the Board of Directors (or a duly authorized committee thereof), any such Proposing Person shall provide, within eight (8) business days after delivery of such request (or such other period as may reasonably be specified in such request), (A) written verification, reasonably satisfactory to the Board of Directors, any committee thereof or any authorized officer of the corporation, to demonstrate the accuracy of any information submitted by such Proposing Person pursuant to this Section 5(b) and (B) a written affirmation of any information submitted by such Proposing Person pursuant to this Section 5(b) as of an earlier date. If a Proposing Person fails to provide such written verification or affirmation within such period, the information as to which written verification or affirmation was requested may be deemed not to have been provided in accordance with this Section 5(b).</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35" w:name="i2f86a4350b7348488ba36ea8e9696cc1"/>
      <w:bookmarkEnd w:id="35"/>
      <w:r>
        <w:rPr>
          <w:rFonts w:ascii="Times New Roman;serif" w:hAnsi="Times New Roman;serif"/>
          <w:b w:val="false"/>
          <w:color w:val="000000"/>
          <w:sz w:val="20"/>
        </w:rPr>
        <w:t xml:space="preserve">(5)    A Proposing Person providing notice of business proposed to be brought before an annual meeting shall further update and supplement such notice, if necessary, so that the information provided or required to be provided in such notice pursuant to this Section 5(b) shall be true and correct in all material respects as of the record date for stockholders entitled to vote at the meeting and as of the date that is ten (10) business days prior to the meeting or any adjournment or postponement thereof, and such update and supplement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delivered to, or mailed and received by, the Secretary at the principal executive offices of the corporation not later than the close of business five (5) business days after the record date for the meeting (in the case of the update and supplement required to be made as of the record date), and not later than eight (8) business days prior to the date of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36" w:name="i8491dcee0d4145158cfbad5043830f2d"/>
      <w:bookmarkEnd w:id="36"/>
      <w:r>
        <w:rPr>
          <w:rFonts w:ascii="Times New Roman;serif" w:hAnsi="Times New Roman;serif"/>
          <w:b w:val="false"/>
          <w:color w:val="000000"/>
          <w:sz w:val="20"/>
        </w:rPr>
        <w:t>(6)    Notwithstanding anything in these Bylaws to the contrary, no business shall be conducted at an annual meeting except in accordance with this Section 5(b). The presiding officer of the meeting (or, in advance of any meeting of stockholders, the Board of Directors or an authorized committee thereof) shall, if the facts warrant, determine that the business was not properly brought before the meeting in accordance with this Section 5(b), and if he or she should so determine, he or she shall so declare to the meeting and any such business not properly brought before the meeting shall not be transacted.</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37" w:name="i4313d92e55814fd984ab310c2ec7794b"/>
      <w:bookmarkEnd w:id="37"/>
      <w:r>
        <w:rPr>
          <w:rFonts w:ascii="Times New Roman;serif" w:hAnsi="Times New Roman;serif"/>
          <w:b w:val="false"/>
          <w:color w:val="000000"/>
          <w:sz w:val="20"/>
        </w:rPr>
        <w:t>(7)    This Section 5(b) is expressly intended to apply to any business proposed to be brought before an annual meeting of stockholders other than any proposal made pursuant to Rule 14a-8 under the Exchange Act. In addition to the requirements of this Section 5(b) with respect to any business proposed to be brought before an annual meeting, each Proposing Person shall comply with all applicable requirements of the Exchange Act with respect to any such business. Nothing in this Section 5(b) shall be deemed to affect the rights of stockholders to request inclusion of proposals in the corporation’s proxy statement pursuant to Rule 14a-8 under the Exchange Act.</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38" w:name="i5d5f8ec05b6c4802a70ed76407cd9129"/>
      <w:bookmarkEnd w:id="38"/>
      <w:r>
        <w:rPr>
          <w:rFonts w:ascii="Times New Roman;serif" w:hAnsi="Times New Roman;serif"/>
          <w:b w:val="false"/>
          <w:color w:val="000000"/>
          <w:sz w:val="20"/>
        </w:rPr>
        <w:t>(8)    For purposes of these Bylaws, “public announcement” shall mean disclosure in a press release reported by the Dow Jones News Service, Associated Press or comparable national news service or in a document publicly filed by the corporation with the Securities and Exchange Commission (the “Commission”) pursuant to Sections 13, 14 or 15(d) of the Exchange Act.</w:t>
      </w:r>
    </w:p>
    <w:p>
      <w:pPr>
        <w:pStyle w:val="TextBody"/>
        <w:bidi w:val="0"/>
        <w:spacing w:lineRule="auto" w:line="288" w:before="120" w:after="120"/>
        <w:ind w:left="0" w:right="0" w:firstLine="720"/>
        <w:jc w:val="left"/>
        <w:rPr/>
      </w:pPr>
      <w:bookmarkStart w:id="39" w:name="ic315e5181e9f40dc9fe45255b2a9c2ec"/>
      <w:bookmarkEnd w:id="39"/>
      <w:r>
        <w:rPr>
          <w:rFonts w:ascii="Times New Roman;serif" w:hAnsi="Times New Roman;serif"/>
          <w:b w:val="false"/>
          <w:color w:val="000000"/>
          <w:sz w:val="20"/>
        </w:rPr>
        <w:t>(c)    </w:t>
      </w:r>
      <w:r>
        <w:rPr>
          <w:rFonts w:ascii="Times New Roman;serif" w:hAnsi="Times New Roman;serif"/>
          <w:b/>
          <w:color w:val="000000"/>
          <w:sz w:val="20"/>
        </w:rPr>
        <w:t>Notice of Nominations for Election to the Board of Directors</w:t>
      </w:r>
      <w:r>
        <w:rPr>
          <w:rFonts w:ascii="Times New Roman;serif" w:hAnsi="Times New Roman;serif"/>
          <w:b w:val="false"/>
          <w:color w:val="000000"/>
          <w:sz w:val="20"/>
        </w:rPr>
        <w:t>.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appointed by the Board of Directors; (ii) by a stockholder present in person who (A) was a stockholder of record both at the time of giving the notice provided for in this Section 5(c) and at the time of the meeting, (B) is entitled to vote at the meeting, and (C) has complied with this Section 5(c) as to such nomination; or (iii) by an Eligible Stockholder or Eligible Stockholders (each, as defined below) in accordance with the terms and conditions set forth in Section 5(d). The foregoing clauses (ii) and (iii) shall be the exclusive means for a stockholder to make any nomination of a person or persons for election to the Board of Directors at an annual meeting or special meeting.</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40" w:name="ic501f03a77724f5f8ea7276f546be7f8"/>
      <w:bookmarkEnd w:id="40"/>
      <w:r>
        <w:rPr>
          <w:rFonts w:ascii="Times New Roman;serif" w:hAnsi="Times New Roman;serif"/>
          <w:b w:val="false"/>
          <w:color w:val="000000"/>
          <w:sz w:val="20"/>
        </w:rPr>
        <w:t>(1)    Without qualification, for a stockholder to make any nomination of a person or persons for election to the Board of Directors at an annual meeting, the stockholder must (i) provide Timely Notice (as defined in Section 5(b)) thereof in writing and in proper form to the Secretary of the corporation, (ii) provide the information, agreements and questionnaires with respect to each Nominating Person (as defined below) and its candidates for nomination as required to be set forth by this Section 5(c), and (iii) provide any updates or supplements to such notice at the times and in the forms required by this Section 5(c).</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41" w:name="ia377a1d896c64fa4952c8452c72a0d5f"/>
      <w:bookmarkEnd w:id="41"/>
      <w:r>
        <w:rPr>
          <w:rFonts w:ascii="Times New Roman;serif" w:hAnsi="Times New Roman;serif"/>
          <w:b w:val="false"/>
          <w:color w:val="000000"/>
          <w:sz w:val="20"/>
        </w:rPr>
        <w:t xml:space="preserve">Without qualification, if the election of directors is a matter specified in the notice of meeting given by or at the direction of the person calling a special meeting of the stockholders, then for a stockholder to make any nomination of a person or persons for election to the Board of Directors at a special meeting, the stockholder must (i) provide timely notice thereof in writing and in proper form to the Secretary of the corporation at the principal executive offices of the corporation, (ii) provide the information, agreements and questionnaires with respect to each Nominating Person and its candidates for nomination as required to be set forth by this Section 5(c), and (iii)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left"/>
        <w:rPr/>
      </w:pPr>
      <w:r>
        <w:rPr>
          <w:rFonts w:ascii="Times New Roman;serif" w:hAnsi="Times New Roman;serif"/>
          <w:b w:val="false"/>
          <w:color w:val="000000"/>
          <w:sz w:val="20"/>
        </w:rPr>
        <w:t>any updates or supplements to such notice at the times and in the forms required by this Section 5(c). To be timely, a stockholder’s notice for nominations to be made at a special meeting must be delivered to, or mailed and received at, the principal executive offices of the corporation not earlier than the one hundred twentieth (120</w:t>
      </w:r>
      <w:r>
        <w:rPr>
          <w:rFonts w:ascii="Times New Roman;serif" w:hAnsi="Times New Roman;serif"/>
          <w:b w:val="false"/>
          <w:color w:val="000000"/>
          <w:sz w:val="16"/>
        </w:rPr>
        <w:t>th</w:t>
      </w:r>
      <w:r>
        <w:rPr>
          <w:rFonts w:ascii="Times New Roman;serif" w:hAnsi="Times New Roman;serif"/>
          <w:b w:val="false"/>
          <w:color w:val="000000"/>
          <w:sz w:val="20"/>
        </w:rPr>
        <w:t>) day prior to such special meeting and not later than the ninetieth (90</w:t>
      </w:r>
      <w:r>
        <w:rPr>
          <w:rFonts w:ascii="Times New Roman;serif" w:hAnsi="Times New Roman;serif"/>
          <w:b w:val="false"/>
          <w:color w:val="000000"/>
          <w:sz w:val="16"/>
        </w:rPr>
        <w:t>th</w:t>
      </w:r>
      <w:r>
        <w:rPr>
          <w:rFonts w:ascii="Times New Roman;serif" w:hAnsi="Times New Roman;serif"/>
          <w:b w:val="false"/>
          <w:color w:val="000000"/>
          <w:sz w:val="20"/>
        </w:rPr>
        <w:t>) day prior to such special meeting or, if later, the tenth (10</w:t>
      </w:r>
      <w:r>
        <w:rPr>
          <w:rFonts w:ascii="Times New Roman;serif" w:hAnsi="Times New Roman;serif"/>
          <w:b w:val="false"/>
          <w:color w:val="000000"/>
          <w:sz w:val="16"/>
        </w:rPr>
        <w:t>th</w:t>
      </w:r>
      <w:r>
        <w:rPr>
          <w:rFonts w:ascii="Times New Roman;serif" w:hAnsi="Times New Roman;serif"/>
          <w:b w:val="false"/>
          <w:color w:val="000000"/>
          <w:sz w:val="20"/>
        </w:rPr>
        <w:t>) day following the day on which public announcement (as defined in Section 5(b)(8)) of the date of such special meeting was first made (such notice within such time periods, “Special Meeting Timely Notice”). In no event shall any adjournment or postponement of an annual meeting or special meeting or the announcement thereof commence a new time period (or extend any time period) for the giving of a stockholder’s notice as described above.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 event may a Nominating Person provide Timely Notice or Special Meeting Timely Notice, as applicable, with respect to a greater number of director candidates than are subject to election by stockholders at the applicable meeting, and for the avoidance of doubt, no Nominating Person shall be entitled to identify any additional or substitute persons as proposed nominees following the expiration of the time periods applicable to such notice.</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42" w:name="icb0c9a1d47b546ba9e996e9118246832"/>
      <w:bookmarkEnd w:id="42"/>
      <w:r>
        <w:rPr>
          <w:rFonts w:ascii="Times New Roman;serif" w:hAnsi="Times New Roman;serif"/>
          <w:b w:val="false"/>
          <w:color w:val="000000"/>
          <w:sz w:val="20"/>
        </w:rPr>
        <w:t>(2)    To be in proper form for purposes of this Section 5(c), a stockholder’s notice to the Secretary shall set forth:</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43" w:name="i0c318ca33f194704ba24bde94cf4d0de"/>
      <w:bookmarkEnd w:id="43"/>
      <w:r>
        <w:rPr>
          <w:rFonts w:ascii="Times New Roman;serif" w:hAnsi="Times New Roman;serif"/>
          <w:b w:val="false"/>
          <w:color w:val="000000"/>
          <w:sz w:val="20"/>
        </w:rPr>
        <w:t>(i)    As to each Nominating Person, the Stockholder Information (as defined in Section 5(b)(2)(i), except that for purposes of this Section 5(c) the term “Nominating Person” shall be substituted for the term “Proposing Person” in all places it appears in Section 5(b)(2)(i));</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44" w:name="i70f928f2ed7d4b2eb177338649e6940d"/>
      <w:bookmarkEnd w:id="44"/>
      <w:r>
        <w:rPr>
          <w:rFonts w:ascii="Times New Roman;serif" w:hAnsi="Times New Roman;serif"/>
          <w:b w:val="false"/>
          <w:color w:val="000000"/>
          <w:sz w:val="20"/>
        </w:rPr>
        <w:t>(ii)    As to each Nominating Person, whether such Nominating Person intends to deliver a proxy statement and form of proxy to holders of shares representing at least 67% of the voting power of shares entitled to vote on the election of directors in support of director nominees other than the corporation’s nominees in accordance with Rule 14a-19 promulgated under the Exchange Act (an affirmative statement of such intent, a “Solicitation Notice”);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45" w:name="if0b32e93f7c8485c944b0163d02f2be8"/>
      <w:bookmarkEnd w:id="45"/>
      <w:r>
        <w:rPr>
          <w:rFonts w:ascii="Times New Roman;serif" w:hAnsi="Times New Roman;serif"/>
          <w:b w:val="false"/>
          <w:color w:val="000000"/>
          <w:sz w:val="20"/>
        </w:rPr>
        <w:t>(iii)    As to each Nominating Person, any Disclosable Interests (as defined in Section 5(b)(2)(iii), except that for purposes of this Section 5(c) the term “Nominating Person” shall be substituted for the term “Proposing Person” in all places it appears in Section 5(b)(2)(iii) and the disclosure with respect to the business to be brought before the meeting in Section 5(b)(2)(iii) shall be made with respect to the nomination proposed to be made at the meeting);</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46" w:name="ib32052ee8beb43eda63fde0e55a3c8b1"/>
      <w:bookmarkEnd w:id="46"/>
      <w:r>
        <w:rPr>
          <w:rFonts w:ascii="Times New Roman;serif" w:hAnsi="Times New Roman;serif"/>
          <w:b w:val="false"/>
          <w:color w:val="000000"/>
          <w:sz w:val="20"/>
        </w:rPr>
        <w:t>(iv)    As to each person whom a Nominating Person proposes to nominate for election as a director, (A)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(B) a description of all direct and indirect compensation and other material monetary agreements, arrangements and understandings during the past three years, and any other material relationships, between or among any Nominating Person (other than the proposed nominee), on the one hand, and each proposed nominee, and, to his or her knowledge, his or her affiliates and associates,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(C) the date(s) of first contact between the Nominating Person, on the one hand, and the proposed nominee, on the other hand, with respect to any proposed nomination(s) of any person(s) (including the proposed nominee) for election as a director of the corporation (the disclosures to be made pursuant to the foregoing clauses (A) through (C) are referred to as “Nominee Information”), and (D) a completed and signed questionnaire, representation and agreement as provided in Section 5(c)(5);</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47" w:name="i7d23294edcc44fb6aeeec6daf8c879d0"/>
      <w:bookmarkEnd w:id="47"/>
      <w:r>
        <w:rPr>
          <w:rFonts w:ascii="Times New Roman;serif" w:hAnsi="Times New Roman;serif"/>
          <w:b w:val="false"/>
          <w:color w:val="000000"/>
          <w:sz w:val="20"/>
        </w:rPr>
        <w:t>(v)    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 and</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48" w:name="i57ffa4a817a745b3bfb819430bb10ef1"/>
      <w:bookmarkEnd w:id="48"/>
      <w:r>
        <w:rPr>
          <w:rFonts w:ascii="Times New Roman;serif" w:hAnsi="Times New Roman;serif"/>
          <w:b w:val="false"/>
          <w:color w:val="000000"/>
          <w:sz w:val="20"/>
        </w:rPr>
        <w:t xml:space="preserve">(vi)    The Board of Directors may require any proposed nominee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(A) as may reasonably be required by the corporation to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determine the eligibility, suitability or qualifications of such proposed nominee to serve as an independent director of the corporation under the listing standards of each securities exchange upon which the corporation’s securities are listed, any applicable rules of the Commission, any publicly disclosed standards used by the Board of Directors in selecting nominees for election as a director and for determining and disclosing the independence of the corporation’s directors, including those applicable to a director’s service on any of the committees of the Board of Directors, the requirements of any other laws or regulations applicable to the corporation or the corporation’s Corporate Governance Guidelines or (B) that could be material to a reasonable stockholder’s understanding of the independence or lack of independence of such proposed nominee. Such other information shall be delivered to, or mailed and received by, the Secretary at the principal executive offices of the corporation not later than five (5) business days after the request by the Board of Directors has been delivered to, or mailed and received by, the Nominating Person.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Section 5(c), the term “Nominating Person” shall mean (i) the stockholder providing the notice of the nomination proposed to be made at the meeting, (ii) the beneficial owner or beneficial owners, if different, on whose behalf the notice of the nomination proposed to be made at the meeting is made, (iii) any person or entity who is a member of a group (as such term is used in Rule 13d-5 under the Exchange Act) with such stockholder or beneficial owner(s) with respect to acquiring, holding, voting or disposing of any securities of the corporation, (iv) any affiliate or associate (each as defined in Rule 12b-2 under the Exchange Act) of such stockholder or such beneficial owner(s), (v) any participant (as defined in paragraphs (a)(ii)-(vi) of Instruction 3 to Item 4 of Schedule 14A) with such stockholder or beneficial owner(s) with respect to any proposed business or nomination, as applicable, under these Bylaws, (vi) any beneficial owner of shares of stock of the corporation owned of record by such stockholder and (vii) any proposed person whom such stockholder or beneficial owner(s) proposes to nominate for election or reelection as a director in accordance with Section 5(c) of these Bylaws.</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49" w:name="iae40611b596f45b3bbe8b935dddaef60"/>
      <w:bookmarkEnd w:id="49"/>
      <w:r>
        <w:rPr>
          <w:rFonts w:ascii="Times New Roman;serif" w:hAnsi="Times New Roman;serif"/>
          <w:b w:val="false"/>
          <w:color w:val="000000"/>
          <w:sz w:val="20"/>
        </w:rPr>
        <w:t>(3)    If any information submitted pursuant to this Section 5(c) by any Nominating Person nominating individuals for election or reelection as a director is inaccurate in any material respect (as determined by the Board of Directors or a committee thereof), such information may be deemed not to have been provided in accordance with this Section 5(c). Any such Nominating Person shall notify the Secretary in writing at the principal executive offices of the corporation of any material inaccuracy or change in any information submitted pursuant to this Section 5(c) (including if any Nominating Person no longer intends to solicit proxies in accordance with the representation made pursuant to Section 5(c)(2)(ii)) within two (2) business days after becoming aware of such material inaccuracy or change, and any such notification shall clearly identify the inaccuracy or change, it being understood that no such notification may cure any deficiencies or inaccuracies with respect to any prior submission by such Nominating Person. Upon written request of the Secretary on behalf of the Board of Directors (or a duly authorized committee thereof), any such Nominating Person shall provide, within eight (8) business days after delivery of such request (or such other period as may reasonably be specified in such request), (A) written verification, reasonably satisfactory to the Board of Directors, any committee thereof or any authorized officer of the corporation, to demonstrate the accuracy of any information submitted by such Nominating Person pursuant to this Section 5(c) and (B) a written affirmation of any information submitted by such Nominating Person pursuant to this Section 5(c) as of an earlier date. If a Nominating Person fails to provide such written verification or affirmation within such period, the information as to which written verification or affirmation was requested may be deemed not to have been provided in accordance with this Section 5(c).</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50" w:name="i7dcda2f57ef84812a326048ae38f02e1"/>
      <w:bookmarkEnd w:id="50"/>
      <w:r>
        <w:rPr>
          <w:rFonts w:ascii="Times New Roman;serif" w:hAnsi="Times New Roman;serif"/>
          <w:b w:val="false"/>
          <w:color w:val="000000"/>
          <w:sz w:val="20"/>
        </w:rPr>
        <w:t xml:space="preserve">(4)    A stockholder providing notice of any nomination proposed to be made at a meeting shall further update and supplement such notice, if necessary, so that the information provided or required to be provided in such notice pursuant to this Section 5(c) shall be true and correct in all material respects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of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51" w:name="i289dae58a47c4537b02c77046580c6be"/>
      <w:bookmarkEnd w:id="51"/>
      <w:r>
        <w:rPr>
          <w:rFonts w:ascii="Times New Roman;serif" w:hAnsi="Times New Roman;serif"/>
          <w:b w:val="false"/>
          <w:color w:val="000000"/>
          <w:sz w:val="20"/>
        </w:rPr>
        <w:t>(5)    Notwithstanding anything in these Bylaws to the contrary, no person shall be eligible for election as a director of the corporation unless nominated in accordance with this Section 5(c) or Section 5(d), as applicable. The presiding officer at the meeting shall, if the facts warrant, determine that a nomination was not properly made in accordance with this Section 5(c) or Section 5(d), as applicable, and if he or she should so determine, he or she shall so declare such determination to the meeting and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52" w:name="i5cf9d16a664f4ae8a41a892f6b92fc2f"/>
      <w:bookmarkEnd w:id="52"/>
      <w:r>
        <w:rPr>
          <w:rFonts w:ascii="Times New Roman;serif" w:hAnsi="Times New Roman;serif"/>
          <w:b w:val="false"/>
          <w:color w:val="000000"/>
          <w:sz w:val="20"/>
        </w:rPr>
        <w:t>(6)    To be eligible to be a nominee for election as a director of the corporation, the proposed nominee must deliver (in accordance with the time periods prescribed for delivery of notice under this Section 5(c)) to the Secretary at the principal executive offices of the corporation a written questionnaire with respect to the background and qualification of such proposed nominee (which questionnaire shall be provided by the Secretary within ten (10) days upon written request of any stockholder of record therefor) and a written representation and agreement (in the form provided by the corporation within ten (10) days upon written request of any stockholder of record therefor) that such candidate for nomination (i) is not and, if elected as a director during his or her term of office, will not become a party to (A) any agreement, arrangement or understanding with, and has not given any commitment or assurance to, any person or entity as to how such proposed nominee, if elected as a director of the corporation, will act or vote on any issue or question (a “Voting Commitment”) that has not been disclosed to the corporation or (B) any Voting Commitment that could limit or interfere with such proposed nominee’s ability to comply, if elected as a director of the corporation, with such proposed nominee’s fiduciary duties under applicable law or with the corporation’s Corporate Governance Guidelines and any other corporation policies and guidelines applicable to directors generally,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(iii) if elected as a director of the corporation, will comply with applicable corporate governance, conflict of interest, confidentiality and stock ownership and trading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(iv) if elected as a director of the corporation, intends to serve the entire term until the next meeting at which such candidate would face re-election, (v) consents to the public disclosure of information regarding or relating to such proposed nominee provided pursuant to these Bylaws and (vi) will provide facts, statements and other information in communications with the corporation and its stockholders that are or will be true and correct in all material respects and that do not and will not omit to state any fact necessary in order to make the statements made, in light of the circumstances under which they are made, not misleading in any material respect.</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53" w:name="ia49c404f7bbe4d2b9b315a9ed276dc89"/>
      <w:bookmarkEnd w:id="53"/>
      <w:r>
        <w:rPr>
          <w:rFonts w:ascii="Times New Roman;serif" w:hAnsi="Times New Roman;serif"/>
          <w:b w:val="false"/>
          <w:color w:val="000000"/>
          <w:sz w:val="20"/>
        </w:rPr>
        <w:t xml:space="preserve">(7)    In addition to the requirements of this Section 5(c) with respect to any nomination proposed to be made at a meeting, each Nominating Person shall comply with all applicable requirements of the Exchange Act with respect to any such nominations. Notwithstanding the foregoing provisions of this Section 5(c),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5(c) or by Rule 14a-19 promulgated under the Exchange Act, as applicable and (ii) if (1) any Nominating Person provides notice in accordance with Rule 14a-19(b) promulgated under the Exchange Act and (2) such Nominating Person subsequently (y) fails to comply with the requirements of Rule 14a-19(a)(2) or Rule 14a-19(a)(3) promulgated under the Exchange Act or (z) fails to timely provide reasonable evidence sufficient to satisfy the corporation that such Nominating Person has met the requirements of Rule 14a-19(a)(3) promulgated under the Exchange Act in accordance with the following sentence, then the nomination of such Nominating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five (5) business days prior to the applicable meeting, reasonable evidence that it has met the requirements of Rule 14a-19(a)(3) promulgated under the Exchange Act.</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54" w:name="i5cd2fea4478345be9a15404bda62915a"/>
      <w:bookmarkEnd w:id="54"/>
      <w:r>
        <w:rPr>
          <w:rFonts w:ascii="Times New Roman;serif" w:hAnsi="Times New Roman;serif"/>
          <w:b w:val="false"/>
          <w:color w:val="000000"/>
          <w:sz w:val="20"/>
        </w:rPr>
        <w:t>(8)    Notwithstanding anything in these Bylaws to the contrary, no candidate for nomination shall be eligible to be seated as a director of the corporation unless nominated in accordance with this Section 5(c) or Section 5(d) and elected as a director.</w:t>
      </w:r>
    </w:p>
    <w:p>
      <w:pPr>
        <w:pStyle w:val="TextBody"/>
        <w:bidi w:val="0"/>
        <w:spacing w:lineRule="auto" w:line="288" w:before="120" w:after="120"/>
        <w:ind w:left="0" w:right="0" w:firstLine="720"/>
        <w:jc w:val="left"/>
        <w:rPr/>
      </w:pPr>
      <w:bookmarkStart w:id="55" w:name="ib1734635d84e4fc2b2e9595fb92e39c7"/>
      <w:bookmarkEnd w:id="55"/>
      <w:r>
        <w:rPr>
          <w:rFonts w:ascii="Times New Roman;serif" w:hAnsi="Times New Roman;serif"/>
          <w:b w:val="false"/>
          <w:color w:val="000000"/>
          <w:sz w:val="20"/>
        </w:rPr>
        <w:t>(d)    </w:t>
      </w:r>
      <w:r>
        <w:rPr>
          <w:rFonts w:ascii="Times New Roman;serif" w:hAnsi="Times New Roman;serif"/>
          <w:b/>
          <w:color w:val="000000"/>
          <w:sz w:val="20"/>
        </w:rPr>
        <w:t>Proxy Access</w:t>
      </w:r>
      <w:r>
        <w:rPr>
          <w:rFonts w:ascii="Times New Roman;serif" w:hAnsi="Times New Roman;serif"/>
          <w:b w:val="false"/>
          <w:color w:val="000000"/>
          <w:sz w:val="20"/>
        </w:rPr>
        <w:t>.</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56" w:name="i4e104913f8c245dbb4b735a71622d2d7"/>
      <w:bookmarkEnd w:id="56"/>
      <w:r>
        <w:rPr>
          <w:rFonts w:ascii="Times New Roman;serif" w:hAnsi="Times New Roman;serif"/>
          <w:b w:val="false"/>
          <w:color w:val="000000"/>
          <w:sz w:val="20"/>
        </w:rPr>
        <w:t>(1)    Subject to the provisions of this Section 5(d), if any Eligible Stockholder (as defined below) or group of up to twenty (20) Eligible Stockholders submits to the corporation a Proxy Access Notice (as defined below) that complies with this Section 5(d) and such Eligible Stockholder or group of Eligible Stockholders otherwise satisfies all the terms and conditions of this Section 5(d) (such Eligible Stockholder or group of Eligible Stockholders, a “Nominating Stockholder”), the corporation shall include in its proxy statement or on its form of proxy and ballot, as applicable (collectively, “proxy materials”), for any annual meeting of stockholders, in addition to any persons nominated for election by the Board of Directors or any committee thereof:</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57" w:name="i59d6da5974a84aaf891d5bf08ce6dfd6"/>
      <w:bookmarkEnd w:id="57"/>
      <w:r>
        <w:rPr>
          <w:rFonts w:ascii="Times New Roman;serif" w:hAnsi="Times New Roman;serif"/>
          <w:b w:val="false"/>
          <w:color w:val="000000"/>
          <w:sz w:val="20"/>
        </w:rPr>
        <w:t>(i)    the name of any person or persons nominated by such Nominating Stockholder for election to the Board of Directors at such annual meeting of stockholders who meets the requirements of this Section 5(d) (a “Nominee”);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58" w:name="ia8d2fa3972884c658acb67c8ec12ad98"/>
      <w:bookmarkEnd w:id="58"/>
      <w:r>
        <w:rPr>
          <w:rFonts w:ascii="Times New Roman;serif" w:hAnsi="Times New Roman;serif"/>
          <w:b w:val="false"/>
          <w:color w:val="000000"/>
          <w:sz w:val="20"/>
        </w:rPr>
        <w:t>(ii)    disclosure about the Nominee and the Nominating Stockholder required under the rules of the Commission or other applicable law to be included in the proxy materials;</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59" w:name="iafe1ae0984184fd5a57a4d737732563e"/>
      <w:bookmarkEnd w:id="59"/>
      <w:r>
        <w:rPr>
          <w:rFonts w:ascii="Times New Roman;serif" w:hAnsi="Times New Roman;serif"/>
          <w:b w:val="false"/>
          <w:color w:val="000000"/>
          <w:sz w:val="20"/>
        </w:rPr>
        <w:t>(iii)    subject to the other applicable provisions of this Section 5(d), a written statement, not to exceed 500 words, that is not contrary to any of the Commission’s proxy rules, including Rule 14a-9 under the Exchange Act (a “Supporting Statement”), included by the Nominating Stockholder in the Proxy Access Notice intended for inclusion in the proxy materials in support of the Nominee’s election to the Board of Directors; and</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60" w:name="i1407524c719c43d592730b0d1456ea60"/>
      <w:bookmarkEnd w:id="60"/>
      <w:r>
        <w:rPr>
          <w:rFonts w:ascii="Times New Roman;serif" w:hAnsi="Times New Roman;serif"/>
          <w:b w:val="false"/>
          <w:color w:val="000000"/>
          <w:sz w:val="20"/>
        </w:rPr>
        <w:t>(iv)    any other information that the corporation or the Board of Directors determines, in its discretion, to include in the proxy materials relating to the nomination of the Nominee, including, without limitation, any statement in opposition to the nomination and any of the information provided pursuant to this Section 5(d).</w:t>
      </w:r>
    </w:p>
    <w:p>
      <w:pPr>
        <w:pStyle w:val="TextBody"/>
        <w:bidi w:val="0"/>
        <w:spacing w:lineRule="auto" w:line="288" w:before="120" w:after="120"/>
        <w:ind w:left="0" w:right="0" w:firstLine="1440"/>
        <w:jc w:val="left"/>
        <w:rPr/>
      </w:pPr>
      <w:bookmarkStart w:id="61" w:name="i0746386e55194fa3a92c2cde45a25899"/>
      <w:bookmarkEnd w:id="61"/>
      <w:r>
        <w:rPr>
          <w:rFonts w:ascii="Times New Roman;serif" w:hAnsi="Times New Roman;serif"/>
          <w:b w:val="false"/>
          <w:color w:val="000000"/>
          <w:sz w:val="20"/>
        </w:rPr>
        <w:t>(2)    </w:t>
      </w:r>
      <w:r>
        <w:rPr>
          <w:rFonts w:ascii="Times New Roman;serif" w:hAnsi="Times New Roman;serif"/>
          <w:b/>
          <w:color w:val="000000"/>
          <w:sz w:val="20"/>
        </w:rPr>
        <w:t>Maximum Number of Nominees</w:t>
      </w:r>
      <w:r>
        <w:rPr>
          <w:rFonts w:ascii="Times New Roman;serif" w:hAnsi="Times New Roman;serif"/>
          <w:b w:val="false"/>
          <w:color w:val="000000"/>
          <w:sz w:val="20"/>
        </w:rPr>
        <w:t>.</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62" w:name="i32f9021c84414ce987bff23e07fbaaf0"/>
      <w:bookmarkEnd w:id="62"/>
      <w:r>
        <w:rPr>
          <w:rFonts w:ascii="Times New Roman;serif" w:hAnsi="Times New Roman;serif"/>
          <w:b w:val="false"/>
          <w:color w:val="000000"/>
          <w:sz w:val="20"/>
        </w:rPr>
        <w:t xml:space="preserve">(i)    The corporation shall not be required to include in the proxy materials for an annual meeting of stockholders more Nominees than that number of directors constituting twenty-five percent (25%) of the total number of directors of the corporation on the last day on which a Proxy Access Notice may be submitted pursuant to this Section 5(d) (rounded down to the nearest whole number, but not less than two (2)) (the “Maximum Number”). The Maximum Number for a particular annual meeting shall be reduced by: (A) the number of Nominees who are subsequently withdrawn or that the Board of Directors itself decides to nominate for election at such annual meeting of stockholders (including, without limitation, any person who is or will be nominated by the Board of Directors pursuant to any agreement or understanding with one or more stockholders to avoid such person being formally proposed as a Nominee), and (B) the number of incumbent directors who had been Nominees with respect to any of the preceding two annual meetings of stockholders and whose reelection at the upcoming annual meeting of stockholders is being recommended by the Board of Directors (including, without limitation, any person who was nominated by the Board of Directors pursuant to any agreement or understanding with one or more stockholders to avoid such person being formally proposed as a Nominee). In the event that one or more vacancies for any reason occurs on the Board of Directors after the deadline set forth in Section 5(d)(4) but before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annual meeting of stockholders, and the Board of Directors resolves to reduce the size of the Board of Directors in connection therewith, the Maximum Number shall be calculated based on the number of directors as so reduced.</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63" w:name="ia1ea95127673491092bb763a3337ccfa"/>
      <w:bookmarkEnd w:id="63"/>
      <w:r>
        <w:rPr>
          <w:rFonts w:ascii="Times New Roman;serif" w:hAnsi="Times New Roman;serif"/>
          <w:b w:val="false"/>
          <w:color w:val="000000"/>
          <w:sz w:val="20"/>
        </w:rPr>
        <w:t>(ii)    Any Nominating Stockholder submitting more than one Nominee for inclusion in the corporation’s proxy materials shall rank such Nominees based on the order that the Nominating Stockholder desires such Nominees to be selected for inclusion in the corporation’s proxy materials in the event that the total number of Nominees submitted by Nominating Stockholders exceeds the Maximum Number. In the event that the number of Nominees submitted by Nominating Stockholders exceeds the Maximum Number, the highest ranking Nominee from each Nominating Stockholder will be included in the corporation’s proxy materials until the Maximum Number is reached, going in order from largest to smallest of the number of shares of common stock of the corporation owned by each Nominating Stockholder as disclosed in each Nominating Stockholder’s Proxy Access Notice. If the Maximum Number is not reached after the highest-ranking Nominee of each Nominating Stockholder has been selected, this process will be repeated as many times as necessary until the Maximum Number is reached. If, after the deadline for submitting a Proxy Access Notice as set forth in Section 5(d)(4), a Nominating Stockholder ceases to satisfy the requirements of this Section 5(d) or withdraws its nomination or a Nominee ceases to satisfy the requirements of this Section 5(d) or becomes unwilling or unable to serve on the Board of Directors, whether before or after the mailing of definitive proxy materials, then the nomination shall be disregarded, and the corporation: (A) shall not be required to include in its proxy materials the disregarded Nominee and (B) may otherwise communicate to its stockholders, including without limitation by amending or supplementing its proxy materials, that the Nominee will not be included as a Nominee in the proxy materials and the election of such Nominee will not be voted on at the annual meeting of stockholders.</w:t>
      </w:r>
    </w:p>
    <w:p>
      <w:pPr>
        <w:pStyle w:val="TextBody"/>
        <w:bidi w:val="0"/>
        <w:spacing w:lineRule="auto" w:line="288" w:before="120" w:after="120"/>
        <w:ind w:left="0" w:right="0" w:firstLine="1440"/>
        <w:jc w:val="left"/>
        <w:rPr/>
      </w:pPr>
      <w:bookmarkStart w:id="64" w:name="i5c3c3aa4f6224df8aee3560c6599485b"/>
      <w:bookmarkEnd w:id="64"/>
      <w:r>
        <w:rPr>
          <w:rFonts w:ascii="Times New Roman;serif" w:hAnsi="Times New Roman;serif"/>
          <w:b w:val="false"/>
          <w:color w:val="000000"/>
          <w:sz w:val="20"/>
        </w:rPr>
        <w:t>(3)    </w:t>
      </w:r>
      <w:r>
        <w:rPr>
          <w:rFonts w:ascii="Times New Roman;serif" w:hAnsi="Times New Roman;serif"/>
          <w:b/>
          <w:color w:val="000000"/>
          <w:sz w:val="20"/>
        </w:rPr>
        <w:t>Eligibility of Nominating Stockholder</w:t>
      </w:r>
      <w:r>
        <w:rPr>
          <w:rFonts w:ascii="Times New Roman;serif" w:hAnsi="Times New Roman;serif"/>
          <w:b w:val="false"/>
          <w:color w:val="000000"/>
          <w:sz w:val="20"/>
        </w:rPr>
        <w:t>.</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65" w:name="i0c822a17b5b646ceab83fc4c8a3c97db"/>
      <w:bookmarkEnd w:id="65"/>
      <w:r>
        <w:rPr>
          <w:rFonts w:ascii="Times New Roman;serif" w:hAnsi="Times New Roman;serif"/>
          <w:b w:val="false"/>
          <w:color w:val="000000"/>
          <w:sz w:val="20"/>
        </w:rPr>
        <w:t>(i)    An “Eligible Stockholder” is a person who has either (A) been a record holder of the shares of common stock used to satisfy the eligibility requirements in this Section 5(d)(3) continuously for the three (3)-year period specified in Subsection (ii) below or (B) provides to the Secretary of the corporation, within the time period referred to in Section 5(d)(4), evidence of continuous ownership of such shares for such three (3)-year period from one or more securities intermediaries in a form that satisfies the requirements as established by the Commission for a stockholder proposal under Rule 14a-8 under the Exchange Act (or any successor rule).</w:t>
      </w:r>
    </w:p>
    <w:p>
      <w:pPr>
        <w:pStyle w:val="TextBody"/>
        <w:bidi w:val="0"/>
        <w:spacing w:lineRule="auto" w:line="288" w:before="120" w:after="120"/>
        <w:ind w:left="0" w:right="0" w:firstLine="2160"/>
        <w:jc w:val="left"/>
        <w:rPr/>
      </w:pPr>
      <w:bookmarkStart w:id="66" w:name="i8212046a83134ba49a4f97932e5912c6"/>
      <w:bookmarkEnd w:id="66"/>
      <w:r>
        <w:rPr>
          <w:rFonts w:ascii="Times New Roman;serif" w:hAnsi="Times New Roman;serif"/>
          <w:b w:val="false"/>
          <w:color w:val="000000"/>
          <w:sz w:val="20"/>
        </w:rPr>
        <w:t xml:space="preserve">(ii)    An Eligible Stockholder or group of up to twenty (20) Eligible Stockholders may submit a nomination in accordance with this Section 5(d) only if the person or each member of the group, as applicable, has continuously owned at least the Minimum Number (as defined below) of shares of the corporation’s outstanding common stock throughout the three (3)-year period preceding and including the date of submission of the Proxy Access Notice, and continues to own at least the Minimum Number through the date of the annual meeting of stockholders. Two or more funds that are (A) under common management and investment control, (B) under common management and funded primarily by a single employer or (C) a “group of investment companies,” as such term is defined in Section 12(d)(1)(G)(ii) of the Investment Company Act of 1940, as amended, (two or more funds referred to under any of clause (A), (B) or (C), collectively, a “Qualifying Fund”) shall be treated as one Eligible Stockholder. For the avoidance of doubt, in the event of a nomination by a group of Eligible Stockholders, any and all requirements and obligations for an individual Eligible Stockholder that are set forth in this Section 5(d), including the minimum holding period, shall apply to each member of such group;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Minimum Number shall apply to the ownership of the group in the aggregate. Should any stockholder withdraw from a group of Eligible Stockholders at any time prior to the annual meeting of stockholders, the group of Eligible Stockholders shall only be deemed to own the shares held by the remaining members of the group.</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67" w:name="ib907f3c055de4fa288ecb324f91cc172"/>
      <w:bookmarkEnd w:id="67"/>
      <w:r>
        <w:rPr>
          <w:rFonts w:ascii="Times New Roman;serif" w:hAnsi="Times New Roman;serif"/>
          <w:b w:val="false"/>
          <w:color w:val="000000"/>
          <w:sz w:val="20"/>
        </w:rPr>
        <w:t>(iii)    The “Minimum Number” of shares of the corporation’s common stock means three percent (3%) of the number of outstanding shares of common stock as of the most recent date for which such amount is given in any filing by the corporation with the Commission prior to the submission of the Proxy Access Notice.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68" w:name="i73e92074a5274c2a89069d64cf018875"/>
      <w:bookmarkEnd w:id="68"/>
      <w:r>
        <w:rPr>
          <w:rFonts w:ascii="Times New Roman;serif" w:hAnsi="Times New Roman;serif"/>
          <w:b w:val="false"/>
          <w:color w:val="000000"/>
          <w:sz w:val="20"/>
        </w:rPr>
        <w:t>(iv)    For purposes of this Section 5(d), an Eligible Stockholder “owns” only those outstanding shares of the common stock of the corporation as to which the Eligible Stockholder possesses both:</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69" w:name="if7a4cb43d36e4ffbb121db22b6c190d3"/>
      <w:bookmarkEnd w:id="69"/>
      <w:r>
        <w:rPr>
          <w:rFonts w:ascii="Times New Roman;serif" w:hAnsi="Times New Roman;serif"/>
          <w:b w:val="false"/>
          <w:color w:val="000000"/>
          <w:sz w:val="20"/>
        </w:rPr>
        <w:t>(A)    the full voting and investment rights pertaining to the shares; and</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70" w:name="ib0042dc29183481ebf15158a227e22e3"/>
      <w:bookmarkEnd w:id="70"/>
      <w:r>
        <w:rPr>
          <w:rFonts w:ascii="Times New Roman;serif" w:hAnsi="Times New Roman;serif"/>
          <w:b w:val="false"/>
          <w:color w:val="000000"/>
          <w:sz w:val="20"/>
        </w:rPr>
        <w:t>(B)    the full economic interest in (including the opportunity for profit and risk of loss on) such shares;</w:t>
      </w:r>
    </w:p>
    <w:p>
      <w:pPr>
        <w:pStyle w:val="TextBody"/>
        <w:bidi w:val="0"/>
        <w:spacing w:lineRule="auto" w:line="288" w:before="120" w:after="120"/>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the number of shares calculated in accordance with clauses (A) and (B) shall not include any shares: (1) sold by such Eligible Stockholder or any of its affiliates in any transaction that has not been settled or closed, (2) borrowed by such Eligible Stockholder or any of its affiliates for any purpose or purchased by such Eligible Stockholder or any of its affiliates pursuant to an agreement to resell, or (3) subject to any option, warrant, forward contract, swap, contract of sale, other derivative or similar agreement entered into by such Eligible Stockholder or any of its affiliates, whether any such instrument or agreement is to be settled with shares, cash or other property based on the notional amount or value of outstanding shares of the corporation, in any such case which instrument or agreement has, or is intended to have, the purpose or effect of: (w) reducing in any manner, to any extent or at any time in the future, such Eligible Stockholder’s or any of its affiliates’ full right to vote or direct the voting of any such shares, and/or (x) hedging, offsetting, or altering to any degree,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Times New Roman;serif" w:hAnsi="Times New Roman;serif"/>
          <w:b w:val="false"/>
          <w:i/>
          <w:color w:val="000000"/>
          <w:sz w:val="20"/>
        </w:rPr>
        <w:t>provided</w:t>
      </w:r>
      <w:r>
        <w:rPr>
          <w:rFonts w:ascii="Times New Roman;serif" w:hAnsi="Times New Roman;serif"/>
          <w:b w:val="false"/>
          <w:color w:val="000000"/>
          <w:sz w:val="20"/>
        </w:rPr>
        <w:t>, that the Eligible Stockholder has the power to recall such loaned shares on no more than three business days’ notice and includes in the Proxy Access Notice an agreement that it will (y) promptly recall such loaned shares upon being notified that any of its Nominees will be included in the corporation’s proxy materials pursuant to this Section 5(d) and (z) continue to hold such recalled shares (including the right to vote such shares) through the date of the annual meeting of stockholders. The terms “owned,” “owning” and other variations of the word “own” shall have correlative meanings. Each Nominating Stockholder shall furnish any other information that may reasonably be required by the Board of Directors to verify such stockholder’s continuous ownership of at least the Minimum Number during the three-year period referred to above.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71" w:name="ie37a127fbc7a454faaa41bd192597f48"/>
      <w:bookmarkEnd w:id="71"/>
      <w:r>
        <w:rPr>
          <w:rFonts w:ascii="Times New Roman;serif" w:hAnsi="Times New Roman;serif"/>
          <w:b w:val="false"/>
          <w:color w:val="000000"/>
          <w:sz w:val="20"/>
        </w:rPr>
        <w:t>(v)    No person may be in more than one group constituting a Nominating Stockholder, and if any person appears as a member of more than one group, it shall be deemed to be a member of the group that owns the greatest aggregate number of shares of the corporation’s common stock as reflected in the Proxy Access Notice, and no shares may be attributed as owned by more than one person constituting a Nominating Stockholder under this Section 5(d).</w:t>
      </w:r>
    </w:p>
    <w:p>
      <w:pPr>
        <w:pStyle w:val="TextBody"/>
        <w:bidi w:val="0"/>
        <w:spacing w:lineRule="auto" w:line="288" w:before="120" w:after="120"/>
        <w:ind w:left="0" w:right="0" w:firstLine="1440"/>
        <w:jc w:val="left"/>
        <w:rPr/>
      </w:pPr>
      <w:bookmarkStart w:id="72" w:name="ib48e159540434fc3b5a9d494eb8e5495"/>
      <w:bookmarkEnd w:id="72"/>
      <w:r>
        <w:rPr>
          <w:rFonts w:ascii="Times New Roman;serif" w:hAnsi="Times New Roman;serif"/>
          <w:b w:val="false"/>
          <w:color w:val="000000"/>
          <w:sz w:val="20"/>
        </w:rPr>
        <w:t>(4)    </w:t>
      </w:r>
      <w:r>
        <w:rPr>
          <w:rFonts w:ascii="Times New Roman;serif" w:hAnsi="Times New Roman;serif"/>
          <w:b/>
          <w:color w:val="000000"/>
          <w:sz w:val="20"/>
        </w:rPr>
        <w:t>Process to nominate a Nominee</w:t>
      </w:r>
      <w:r>
        <w:rPr>
          <w:rFonts w:ascii="Times New Roman;serif" w:hAnsi="Times New Roman;serif"/>
          <w:b w:val="false"/>
          <w:color w:val="000000"/>
          <w:sz w:val="20"/>
        </w:rPr>
        <w:t>. To nominate a Nominee, the Nominating Stockholder must, no earlier than one hundred twenty (120) days and no later than ninety (90) days prior to the one-year anniversary of the preceding year’s annual meeting of stockholders, submit to the Secretary of the corporation at the principal executive office of the corporation all of the following information and documents (collectively, the “Proxy Access Notice”):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73" w:name="i16c448b93d0345cf886c6b2bb6509561"/>
      <w:bookmarkEnd w:id="73"/>
      <w:r>
        <w:rPr>
          <w:rFonts w:ascii="Times New Roman;serif" w:hAnsi="Times New Roman;serif"/>
          <w:b w:val="false"/>
          <w:color w:val="000000"/>
          <w:sz w:val="20"/>
        </w:rPr>
        <w:t>(i)    A Schedule 14N (or any successor form) relating to the Nominee, completed and filed with the Commission by the Nominating Stockholder as applicable, in accordance with the Commission’s rules;</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74" w:name="i00aaaaf2de384aa1bf64f42565c620d5"/>
      <w:bookmarkEnd w:id="74"/>
      <w:r>
        <w:rPr>
          <w:rFonts w:ascii="Times New Roman;serif" w:hAnsi="Times New Roman;serif"/>
          <w:b w:val="false"/>
          <w:color w:val="000000"/>
          <w:sz w:val="20"/>
        </w:rPr>
        <w:t>(ii)    A written notice of the nomination of such Nominee that includes the following additional information, agreements, representations and warranties by the Nominating Stockholder (including each group member):</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75" w:name="i50544b2deff1495896f5d409b38ac6db"/>
      <w:bookmarkEnd w:id="75"/>
      <w:r>
        <w:rPr>
          <w:rFonts w:ascii="Times New Roman;serif" w:hAnsi="Times New Roman;serif"/>
          <w:b w:val="false"/>
          <w:color w:val="000000"/>
          <w:sz w:val="20"/>
        </w:rPr>
        <w:t>(A)    the information, representations and agreements required with respect to the nomination of directors pursuant to Sections 5(b) and 5(c) of these Bylaws;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76" w:name="ie91704a9ea5a4b2b9fb177b0ffec1eec"/>
      <w:bookmarkEnd w:id="76"/>
      <w:r>
        <w:rPr>
          <w:rFonts w:ascii="Times New Roman;serif" w:hAnsi="Times New Roman;serif"/>
          <w:b w:val="false"/>
          <w:color w:val="000000"/>
          <w:sz w:val="20"/>
        </w:rPr>
        <w:t>(B)    the details of any relationship that existed within the past three years and that would have been described pursuant to Item 6(e) of Schedule 14N (or any successor item) if it existed on the date of submission of the Schedule 14N;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77" w:name="i0af3fbf9994c4280b33242e5bc185c91"/>
      <w:bookmarkEnd w:id="77"/>
      <w:r>
        <w:rPr>
          <w:rFonts w:ascii="Times New Roman;serif" w:hAnsi="Times New Roman;serif"/>
          <w:b w:val="false"/>
          <w:color w:val="000000"/>
          <w:sz w:val="20"/>
        </w:rPr>
        <w:t>(C)    a representation and warranty that the Nominating Stockholder did not acquire, and is not holding, securities of the corporation for the purpose or with the effect of influencing or changing control of the corporation;</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78" w:name="i85229e32af584b36b011418088b521de"/>
      <w:bookmarkEnd w:id="78"/>
      <w:r>
        <w:rPr>
          <w:rFonts w:ascii="Times New Roman;serif" w:hAnsi="Times New Roman;serif"/>
          <w:b w:val="false"/>
          <w:color w:val="000000"/>
          <w:sz w:val="20"/>
        </w:rPr>
        <w:t>(D)    a representation and warranty that the Nominee’s candidacy or, if elected, Board of Directors membership, would not violate the Certificate of Incorporation, these Bylaws, or any applicable state or federal law or the rules of any stock exchange on which the corporation’s common stock is traded;</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79" w:name="i29b23fa608334803a1d9ecc29e69c6aa"/>
      <w:bookmarkEnd w:id="79"/>
      <w:r>
        <w:rPr>
          <w:rFonts w:ascii="Times New Roman;serif" w:hAnsi="Times New Roman;serif"/>
          <w:b w:val="false"/>
          <w:color w:val="000000"/>
          <w:sz w:val="20"/>
        </w:rPr>
        <w:t>(E)    a representation and warranty that the Nominee:</w:t>
      </w:r>
    </w:p>
    <w:p>
      <w:pPr>
        <w:pStyle w:val="TextBody"/>
        <w:bidi w:val="0"/>
        <w:spacing w:lineRule="auto" w:line="288" w:before="120" w:after="120"/>
        <w:ind w:left="0" w:right="0" w:firstLine="3600"/>
        <w:jc w:val="left"/>
        <w:rPr>
          <w:rFonts w:ascii="Times New Roman;serif" w:hAnsi="Times New Roman;serif"/>
          <w:b w:val="false"/>
          <w:color w:val="000000"/>
          <w:sz w:val="20"/>
        </w:rPr>
      </w:pPr>
      <w:bookmarkStart w:id="80" w:name="i7e28740b933e4f51a222fce6e79ba5e9"/>
      <w:bookmarkEnd w:id="80"/>
      <w:r>
        <w:rPr>
          <w:rFonts w:ascii="Times New Roman;serif" w:hAnsi="Times New Roman;serif"/>
          <w:b w:val="false"/>
          <w:color w:val="000000"/>
          <w:sz w:val="20"/>
        </w:rPr>
        <w:t>(1)    does not have any direct or indirect material relationship with the corporation and otherwise would qualify as an “independent director” under the rules of the principal stock exchange on which the corporation’s common stock is traded and any applicable rules of the Commission;</w:t>
      </w:r>
    </w:p>
    <w:p>
      <w:pPr>
        <w:pStyle w:val="TextBody"/>
        <w:bidi w:val="0"/>
        <w:spacing w:lineRule="auto" w:line="288" w:before="120" w:after="120"/>
        <w:ind w:left="0" w:right="0" w:firstLine="3600"/>
        <w:jc w:val="left"/>
        <w:rPr>
          <w:rFonts w:ascii="Times New Roman;serif" w:hAnsi="Times New Roman;serif"/>
          <w:b w:val="false"/>
          <w:color w:val="000000"/>
          <w:sz w:val="20"/>
        </w:rPr>
      </w:pPr>
      <w:bookmarkStart w:id="81" w:name="id49811b950924290855d976ab8fafdc1"/>
      <w:bookmarkEnd w:id="81"/>
      <w:r>
        <w:rPr>
          <w:rFonts w:ascii="Times New Roman;serif" w:hAnsi="Times New Roman;serif"/>
          <w:b w:val="false"/>
          <w:color w:val="000000"/>
          <w:sz w:val="20"/>
        </w:rPr>
        <w:t>(2)    would meet the audit committee independence requirements under the rules of the Commission and of the principal stock exchange on which the corporation’s common stock is traded;</w:t>
      </w:r>
    </w:p>
    <w:p>
      <w:pPr>
        <w:pStyle w:val="TextBody"/>
        <w:bidi w:val="0"/>
        <w:spacing w:lineRule="auto" w:line="288" w:before="120" w:after="120"/>
        <w:ind w:left="0" w:right="0" w:firstLine="3600"/>
        <w:jc w:val="left"/>
        <w:rPr>
          <w:rFonts w:ascii="Times New Roman;serif" w:hAnsi="Times New Roman;serif"/>
          <w:b w:val="false"/>
          <w:color w:val="000000"/>
          <w:sz w:val="20"/>
        </w:rPr>
      </w:pPr>
      <w:bookmarkStart w:id="82" w:name="i2a61928936a54905b0ccd429005021fd"/>
      <w:bookmarkEnd w:id="82"/>
      <w:r>
        <w:rPr>
          <w:rFonts w:ascii="Times New Roman;serif" w:hAnsi="Times New Roman;serif"/>
          <w:b w:val="false"/>
          <w:color w:val="000000"/>
          <w:sz w:val="20"/>
        </w:rPr>
        <w:t>(3)    would qualify as a “non-employee director” for the purposes of Rule 16b-3 under the Exchange Act (or any successor rule);</w:t>
      </w:r>
    </w:p>
    <w:p>
      <w:pPr>
        <w:pStyle w:val="TextBody"/>
        <w:bidi w:val="0"/>
        <w:spacing w:lineRule="auto" w:line="288" w:before="120" w:after="120"/>
        <w:ind w:left="0" w:right="0" w:firstLine="3600"/>
        <w:jc w:val="left"/>
        <w:rPr>
          <w:rFonts w:ascii="Times New Roman;serif" w:hAnsi="Times New Roman;serif"/>
          <w:b w:val="false"/>
          <w:color w:val="000000"/>
          <w:sz w:val="20"/>
        </w:rPr>
      </w:pPr>
      <w:bookmarkStart w:id="83" w:name="i437e87b8a14f4ff6a78a42ec939dfc24"/>
      <w:bookmarkEnd w:id="83"/>
      <w:r>
        <w:rPr>
          <w:rFonts w:ascii="Times New Roman;serif" w:hAnsi="Times New Roman;serif"/>
          <w:b w:val="false"/>
          <w:color w:val="000000"/>
          <w:sz w:val="20"/>
        </w:rPr>
        <w:t>(4)    is not and has not been, within the past three (3) years, an officer, director, affiliate or representative of any Principal Competitor, and if the Nominee has held any such position during this period, details thereof; and</w:t>
      </w:r>
    </w:p>
    <w:p>
      <w:pPr>
        <w:pStyle w:val="TextBody"/>
        <w:bidi w:val="0"/>
        <w:spacing w:lineRule="auto" w:line="288" w:before="120" w:after="120"/>
        <w:ind w:left="0" w:right="0" w:firstLine="3600"/>
        <w:jc w:val="left"/>
        <w:rPr>
          <w:rFonts w:ascii="Times New Roman;serif" w:hAnsi="Times New Roman;serif"/>
          <w:b w:val="false"/>
          <w:color w:val="000000"/>
          <w:sz w:val="20"/>
        </w:rPr>
      </w:pPr>
      <w:bookmarkStart w:id="84" w:name="i765fb91c026a4cbe9ca3e46c2601ff0d"/>
      <w:bookmarkEnd w:id="84"/>
      <w:r>
        <w:rPr>
          <w:rFonts w:ascii="Times New Roman;serif" w:hAnsi="Times New Roman;serif"/>
          <w:b w:val="false"/>
          <w:color w:val="000000"/>
          <w:sz w:val="20"/>
        </w:rPr>
        <w:t>(5)    is not and has not been subject to any event specified in Rule 506(d)(1) of Regulation D (or any successor rule) under the Securities Act of 1933, as amended, or Item 401(f) of Regulation S-K (or any successor rule) under the Exchange Act, without reference to whether the event is material to an evaluation of the ability or integrity of the Nominee;</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85" w:name="i3260a54bdcbf4888abd9902665d766ea"/>
      <w:bookmarkEnd w:id="85"/>
      <w:r>
        <w:rPr>
          <w:rFonts w:ascii="Times New Roman;serif" w:hAnsi="Times New Roman;serif"/>
          <w:b w:val="false"/>
          <w:color w:val="000000"/>
          <w:sz w:val="20"/>
        </w:rPr>
        <w:t>(F)    a representation and warranty that the Nominating Stockholder satisfies the eligibility requirements set forth in Section 5(d)(3), has provided evidence of ownership to the extent required by Section 5(d)(3)(i), and such evidence of ownership is true, complete and correct in all respects;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86" w:name="i7b6897f2f34647fa83f594d304368e51"/>
      <w:bookmarkEnd w:id="86"/>
      <w:r>
        <w:rPr>
          <w:rFonts w:ascii="Times New Roman;serif" w:hAnsi="Times New Roman;serif"/>
          <w:b w:val="false"/>
          <w:color w:val="000000"/>
          <w:sz w:val="20"/>
        </w:rPr>
        <w:t>(G)    a representation and warranty that the Nominating Stockholder intends to continue to satisfy the eligibility requirements described in Section 5(d)(3) through the date of the annual meeting of stockholders;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87" w:name="ie04eb07f908c4ac7a4c330b8875c6249"/>
      <w:bookmarkEnd w:id="87"/>
      <w:r>
        <w:rPr>
          <w:rFonts w:ascii="Times New Roman;serif" w:hAnsi="Times New Roman;serif"/>
          <w:b w:val="false"/>
          <w:color w:val="000000"/>
          <w:sz w:val="20"/>
        </w:rPr>
        <w:t>(H)    a statement as to whether or not the Nominating Stockholder intends to continue to hold the Minimum Number of shares for at least one (1) year following the annual meeting of stockholders, which statement may also include a description as to why such Nominating Stockholder is unable to make the foregoing statement;</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88" w:name="i6b587fedfbc84a33986e02000c9e882e"/>
      <w:bookmarkEnd w:id="88"/>
      <w:r>
        <w:rPr>
          <w:rFonts w:ascii="Times New Roman;serif" w:hAnsi="Times New Roman;serif"/>
          <w:b w:val="false"/>
          <w:color w:val="000000"/>
          <w:sz w:val="20"/>
        </w:rPr>
        <w:t>(I)    a representation and warranty that the Nominating Stockholder will not engage in or support, directly or indirectly, a “solicitation” within the meaning of Rule 14a-1(l) (without reference to the exception in Rule 14a-1(l)(2)(iv)) (or any successor rules) with respect to the annual meeting of stockholders, other than a solicitation in support of the Nominee or any nominee of the Board of Directors;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89" w:name="ib4a2f85656b54d419ed192138be65148"/>
      <w:bookmarkEnd w:id="89"/>
      <w:r>
        <w:rPr>
          <w:rFonts w:ascii="Times New Roman;serif" w:hAnsi="Times New Roman;serif"/>
          <w:b w:val="false"/>
          <w:color w:val="000000"/>
          <w:sz w:val="20"/>
        </w:rPr>
        <w:t>(J)    a representation and warranty that the Nominating Stockholder will not use any proxy card other than the corporation’s proxy card in soliciting stockholders in connection with the election of a Nominee at the annual meeting of stockholders;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0" w:name="i64e0d8057a5d4963b798eb48c8cc0b06"/>
      <w:bookmarkEnd w:id="90"/>
      <w:r>
        <w:rPr>
          <w:rFonts w:ascii="Times New Roman;serif" w:hAnsi="Times New Roman;serif"/>
          <w:b w:val="false"/>
          <w:color w:val="000000"/>
          <w:sz w:val="20"/>
        </w:rPr>
        <w:t>(K)    if desired by the Nominating Stockholder, a Supporting Statement;</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1" w:name="idc38b57df098458895b887ea37480c3f"/>
      <w:bookmarkEnd w:id="91"/>
      <w:r>
        <w:rPr>
          <w:rFonts w:ascii="Times New Roman;serif" w:hAnsi="Times New Roman;serif"/>
          <w:b w:val="false"/>
          <w:color w:val="000000"/>
          <w:sz w:val="20"/>
        </w:rPr>
        <w:t>(L)    in the case of a nomination by a group, the designation by all group members of one (1) group member that is authorized to act on behalf of all group members with respect to matters relating to the nomination, including withdrawal of the nomination;</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2" w:name="i56421fbf743f42ef8ebbe6f16a62fe54"/>
      <w:bookmarkEnd w:id="92"/>
      <w:r>
        <w:rPr>
          <w:rFonts w:ascii="Times New Roman;serif" w:hAnsi="Times New Roman;serif"/>
          <w:b w:val="false"/>
          <w:color w:val="000000"/>
          <w:sz w:val="20"/>
        </w:rPr>
        <w:t xml:space="preserve">(M)    in the case of any Eligible Stockholder that is a Qualifying Fund consisting of two (2) or more funds, documentation demonstrating that the funds are eligible to be treated as a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Qualifying Fund and that each such fund comprising the Qualifying Fund otherwise meets the requirements set forth in this Section 5(d); and</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3" w:name="i6cc808d0cab44e37928172fdc997e3d7"/>
      <w:bookmarkEnd w:id="93"/>
      <w:r>
        <w:rPr>
          <w:rFonts w:ascii="Times New Roman;serif" w:hAnsi="Times New Roman;serif"/>
          <w:b w:val="false"/>
          <w:color w:val="000000"/>
          <w:sz w:val="20"/>
        </w:rPr>
        <w:t>(N)    a representation and warranty that the Nominating Stockholder has not nominated and will not nominate for election any individual as director at the annual meeting of stockholders other than its Nominee(s).</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94" w:name="id749fbf93691410f812a98ea4a361520"/>
      <w:bookmarkEnd w:id="94"/>
      <w:r>
        <w:rPr>
          <w:rFonts w:ascii="Times New Roman;serif" w:hAnsi="Times New Roman;serif"/>
          <w:b w:val="false"/>
          <w:color w:val="000000"/>
          <w:sz w:val="20"/>
        </w:rPr>
        <w:t>(iii)    An executed agreement pursuant to which the Nominating Stockholder (including each group member) agrees: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5" w:name="i019c0d984a7048068c862ca311bb2302"/>
      <w:bookmarkEnd w:id="95"/>
      <w:r>
        <w:rPr>
          <w:rFonts w:ascii="Times New Roman;serif" w:hAnsi="Times New Roman;serif"/>
          <w:b w:val="false"/>
          <w:color w:val="000000"/>
          <w:sz w:val="20"/>
        </w:rPr>
        <w:t>(A)    to comply with all applicable laws, rules and regulations in connection with the nomination, solicitation and election;</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6" w:name="ib24e5ba10ac94f68952c11709dead548"/>
      <w:bookmarkEnd w:id="96"/>
      <w:r>
        <w:rPr>
          <w:rFonts w:ascii="Times New Roman;serif" w:hAnsi="Times New Roman;serif"/>
          <w:b w:val="false"/>
          <w:color w:val="000000"/>
          <w:sz w:val="20"/>
        </w:rPr>
        <w:t>(B)    to file with the Commission any solicitation or other communication with the corporation’s stockholders relating to any Nominee or one or more of the corporation’s directors or director nominees, regardless of whether any such filing is required under any law, rule or regulation or whether any exemption from filing is available for such materials under any law, rule or regulation;</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7" w:name="i435ed4b02ddc497b9988123b261421db"/>
      <w:bookmarkEnd w:id="97"/>
      <w:r>
        <w:rPr>
          <w:rFonts w:ascii="Times New Roman;serif" w:hAnsi="Times New Roman;serif"/>
          <w:b w:val="false"/>
          <w:color w:val="000000"/>
          <w:sz w:val="20"/>
        </w:rPr>
        <w:t>(C)    to assume all liability stemming from an action, suit or proceeding concerning any actual or alleged legal or regulatory violation arising out of any communication by the Nominating Stockholder with the corporation, its stockholders or any other person in connection with the nomination or election of directors, including, without limitation, the Proxy Access Notice;</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8" w:name="if65e03b724c64d2da94e613b59f5413e"/>
      <w:bookmarkEnd w:id="98"/>
      <w:r>
        <w:rPr>
          <w:rFonts w:ascii="Times New Roman;serif" w:hAnsi="Times New Roman;serif"/>
          <w:b w:val="false"/>
          <w:color w:val="000000"/>
          <w:sz w:val="20"/>
        </w:rPr>
        <w:t>(D)    to indemnify and hold harmless (jointly and severally with all other group members, in the case of a group member) the corporation and each of its directors, officers and employees individually against any liability, loss, damages, expenses, demands, claims or other costs (including reasonable attorneys’ fees and disbursements of counsel) incurred in connection with any threatened or pending action, suit or proceeding, whether legal, administrative or investigative, against the corporation or any of its directors, officers or employees arising out of any nomination submitted by the Nominating Stockholder (including, without limitation, relating to any breach or alleged breach of its obligations, agreements, representations or warranties) pursuant to this Section 5(d);</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99" w:name="i7ff6a35a3f84465faec6508b764feefc"/>
      <w:bookmarkEnd w:id="99"/>
      <w:r>
        <w:rPr>
          <w:rFonts w:ascii="Times New Roman;serif" w:hAnsi="Times New Roman;serif"/>
          <w:b w:val="false"/>
          <w:color w:val="000000"/>
          <w:sz w:val="20"/>
        </w:rPr>
        <w:t>(E)    in the event that (i) any information included in the Proxy Access Notice, or any other communication by the Nominating Stockholder (including with respect to any group member) with the corporation, its stockholders or any other person in connection with the nomination or election of directors ceases to be true and accurate in all material respects (or omits a material fact necessary to make the statements made not misleading), or (ii) the Nominating Stockholder (including any group member) fails to continue to satisfy the eligibility requirements described in Section 5(d)(3), the Nominating Stockholder shall promptly (and in any event within forty-eight (48) hours of discovering such misstatement, omission or failure) (x) in the case of clause (i) above, notify the corporation and any other recipient of such communication of the misstatement or omission in such previously provided information and of the information that is required to correct the misstatement or omission, and (y) in the case of clause (ii) above, notify the corporation why, and in what regard, the Nominating Stockholder fails to comply with the eligibility requirements described in Section 5(d)(3) (it being understood that providing any such notification referenced in clauses (x) and (y) above shall not be deemed to cure any defect or limit the corporation’s rights to omit a Nominee from its proxy materials as provided in this Section 5(d)); and</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00" w:name="id69ecfe4b64f42619395b069dd183c61"/>
      <w:bookmarkEnd w:id="100"/>
      <w:r>
        <w:rPr>
          <w:rFonts w:ascii="Times New Roman;serif" w:hAnsi="Times New Roman;serif"/>
          <w:b w:val="false"/>
          <w:color w:val="000000"/>
          <w:sz w:val="20"/>
        </w:rPr>
        <w:t>(iv)    An executed agreement by the Nominee:</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01" w:name="i9ed104be2a99441baba31af4881b57b6"/>
      <w:bookmarkEnd w:id="101"/>
      <w:r>
        <w:rPr>
          <w:rFonts w:ascii="Times New Roman;serif" w:hAnsi="Times New Roman;serif"/>
          <w:b w:val="false"/>
          <w:color w:val="000000"/>
          <w:sz w:val="20"/>
        </w:rPr>
        <w:t>(A)    to provide to the corporation a completed copy of the corporation’s director questionnaire and such other information as the corporation may reasonably request;</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02" w:name="i7b54aa10b3404fdfabd434d1c97b1e5b"/>
      <w:bookmarkEnd w:id="102"/>
      <w:r>
        <w:rPr>
          <w:rFonts w:ascii="Times New Roman;serif" w:hAnsi="Times New Roman;serif"/>
          <w:b w:val="false"/>
          <w:color w:val="000000"/>
          <w:sz w:val="20"/>
        </w:rPr>
        <w:t>(B)    that the Nominee (i) consents to be named in the proxy materials as a nominee and, if elected, to serve on the Board of Directors and (ii) has read and agrees to adhere to the corporation’s Corporate Governance Guidelines and any other corporation policies and guidelines applicable to directors generally; and</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03" w:name="i9eb4e243721f4bab8c8b2937e36ac1da"/>
      <w:bookmarkEnd w:id="103"/>
      <w:r>
        <w:rPr>
          <w:rFonts w:ascii="Times New Roman;serif" w:hAnsi="Times New Roman;serif"/>
          <w:b w:val="false"/>
          <w:color w:val="000000"/>
          <w:sz w:val="20"/>
        </w:rPr>
        <w:t xml:space="preserve">(C)    that the Nominee is not and will not become a party to (1) any agreement, arrangement or understanding with any person or entity other than the corporation with respect to direct or indirect compensation, reimbursement or indemnification in connection with service or action as a director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corporation that has not been disclosed to the corporation in writing, (2) any Voting Commitment that has not been disclosed to the corporation in writing, or (3) any Voting Commitment that could limit or interfere with such proposed nominee’s ability to comply, if elected as a director of the corporation, with such proposed nominee’s fiduciary duties under applicable law or with the corporation’s Corporate Governance Guidelines and any other corporation policies and guidelines applicable to directors generally.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and documents required by this Section 5(d)(4) shall be: (x) provided with respect to and executed by each group member, in the case of information applicable to group members; and (y) provided with respect to the persons specified in Instruction 1 to Items 6(c) and (d) of Schedule 14N (or any successor item) if and to the extent applicable to a Nominating Stockholder or group member. The Proxy Access Notice shall be deemed submitted on the date on which all the information and documents referred to in this Section 5(d)(4) (other than such information and documents contemplated to be provided after the date the Proxy Access Notice is provided) have been delivered to or, if sent by mail, received by the Secretary of the corporation. For the avoidance of doubt, in no event shall any adjournment or postponement of an annual meeting of stockholders or the public announcement thereof commence a new time period (or extend any time period) for the giving of a Proxy Access Notice pursuant to this Section 5(d).</w:t>
      </w:r>
    </w:p>
    <w:p>
      <w:pPr>
        <w:pStyle w:val="TextBody"/>
        <w:bidi w:val="0"/>
        <w:spacing w:lineRule="auto" w:line="288" w:before="120" w:after="120"/>
        <w:ind w:left="0" w:right="0" w:firstLine="1440"/>
        <w:jc w:val="left"/>
        <w:rPr/>
      </w:pPr>
      <w:bookmarkStart w:id="104" w:name="i3792e38153cd4f8e8225e6c12f19f04b"/>
      <w:bookmarkEnd w:id="104"/>
      <w:r>
        <w:rPr>
          <w:rFonts w:ascii="Times New Roman;serif" w:hAnsi="Times New Roman;serif"/>
          <w:b w:val="false"/>
          <w:color w:val="000000"/>
          <w:sz w:val="20"/>
        </w:rPr>
        <w:t>(5)    </w:t>
      </w:r>
      <w:r>
        <w:rPr>
          <w:rFonts w:ascii="Times New Roman;serif" w:hAnsi="Times New Roman;serif"/>
          <w:b/>
          <w:color w:val="000000"/>
          <w:sz w:val="20"/>
        </w:rPr>
        <w:t>Conditional Resignation of Nominee</w:t>
      </w:r>
      <w:r>
        <w:rPr>
          <w:rFonts w:ascii="Times New Roman;serif" w:hAnsi="Times New Roman;serif"/>
          <w:b w:val="false"/>
          <w:color w:val="000000"/>
          <w:sz w:val="20"/>
        </w:rPr>
        <w:t>.</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05" w:name="i38ce1014567148da9a858a6fbd9a11ce"/>
      <w:bookmarkEnd w:id="105"/>
      <w:r>
        <w:rPr>
          <w:rFonts w:ascii="Times New Roman;serif" w:hAnsi="Times New Roman;serif"/>
          <w:b w:val="false"/>
          <w:color w:val="000000"/>
          <w:sz w:val="20"/>
        </w:rPr>
        <w:t>(i)    Any Nominee who is included in the corporation’s proxy materials for election at an annual meeting of stockholders pursuant to this Section 5(d) shall, upon its election as a director, deliver to the corporation an executed, irrevocable resignation as a director of the corporation, in a form to be provided to the Nominee by the corporation, which resignation shall automatically be effective upon (A) a determination by the Board of Directors or any committee thereof that (x) the information provided pursuant to this Section 5(d) to the corporation by such Nominee or the Nominating Stockholder (or each member of any group of Eligible Stockholders comprising such Nominating Stockholder) was untrue in any material respect or omitted to state a material fact necessary in order to make the statements made, in light of the circumstances under which they were made, not misleading, or (y) such Nominee or the Nominating Stockholder (or any member of any group of Eligible Stockholders comprising such Nominating Stockholder) shall have breached or failed to comply in any material respect with its agreements, representations or warranties pursuant to these Bylaws, including this Section 5(d), or (B) the occurrence of both (x) such Nominee’s failure to receive the required vote for re-election at a meeting at which such Nominee faces re-election and (y) acceptance by the corporation of such resignation in accordance with the procedures described under Section 8(b).</w:t>
      </w:r>
    </w:p>
    <w:p>
      <w:pPr>
        <w:pStyle w:val="TextBody"/>
        <w:bidi w:val="0"/>
        <w:spacing w:lineRule="auto" w:line="288" w:before="120" w:after="120"/>
        <w:ind w:left="0" w:right="0" w:firstLine="1440"/>
        <w:jc w:val="left"/>
        <w:rPr/>
      </w:pPr>
      <w:bookmarkStart w:id="106" w:name="i39cebef5a1e347a78e6b3bc461541ca7"/>
      <w:bookmarkEnd w:id="106"/>
      <w:r>
        <w:rPr>
          <w:rFonts w:ascii="Times New Roman;serif" w:hAnsi="Times New Roman;serif"/>
          <w:b w:val="false"/>
          <w:color w:val="000000"/>
          <w:sz w:val="20"/>
        </w:rPr>
        <w:t>(6)    </w:t>
      </w:r>
      <w:r>
        <w:rPr>
          <w:rFonts w:ascii="Times New Roman;serif" w:hAnsi="Times New Roman;serif"/>
          <w:b/>
          <w:color w:val="000000"/>
          <w:sz w:val="20"/>
        </w:rPr>
        <w:t>Exceptions and Clarifications</w:t>
      </w:r>
      <w:r>
        <w:rPr>
          <w:rFonts w:ascii="Times New Roman;serif" w:hAnsi="Times New Roman;serif"/>
          <w:b w:val="false"/>
          <w:color w:val="000000"/>
          <w:sz w:val="20"/>
        </w:rPr>
        <w:t>.</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07" w:name="i50e6b5aa115548c78b4122c7cc6de5ad"/>
      <w:bookmarkEnd w:id="107"/>
      <w:r>
        <w:rPr>
          <w:rFonts w:ascii="Times New Roman;serif" w:hAnsi="Times New Roman;serif"/>
          <w:b w:val="false"/>
          <w:color w:val="000000"/>
          <w:sz w:val="20"/>
        </w:rPr>
        <w:t>(i)    Notwithstanding anything to the contrary contained in this Section 5(d), (x) the corporation may omit from its proxy materials any Nominee and any information concerning such Nominee (including a Nominating Stockholder’s Supporting Statement), (y) any nomination shall be disregarded, and (z) no vote on such Nominee will occur (notwithstanding that proxies in respect of such vote may have been received by the corporation), and the Nominating Stockholder may not, after the last day on which a Proxy Access Notice would be timely, cure in any way any defect preventing the nomination of the Nominee, if</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08" w:name="i003e554b48404a9ca3fc45f8e770230d"/>
      <w:bookmarkEnd w:id="108"/>
      <w:r>
        <w:rPr>
          <w:rFonts w:ascii="Times New Roman;serif" w:hAnsi="Times New Roman;serif"/>
          <w:b w:val="false"/>
          <w:color w:val="000000"/>
          <w:sz w:val="20"/>
        </w:rPr>
        <w:t>(A)    the corporation receives a notice pursuant to Section 5(c) of these Bylaws that a stockholder intends to nominate a candidate for director at the annual meeting of stockholders;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09" w:name="i9a53c29838f24852b36305aa90e87e2d"/>
      <w:bookmarkEnd w:id="109"/>
      <w:r>
        <w:rPr>
          <w:rFonts w:ascii="Times New Roman;serif" w:hAnsi="Times New Roman;serif"/>
          <w:b w:val="false"/>
          <w:color w:val="000000"/>
          <w:sz w:val="20"/>
        </w:rPr>
        <w:t>(B)    the Nominating Stockholder or the designated lead group member, as applicable, or any qualified representative thereof, does not appear at the annual meeting of stockholders to present the nomination submitted pursuant to this Section 5(d) or the Nominating Stockholder withdraws its nomination prior to the annual meeting of stockholders;</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10" w:name="i45da00d04ec4413582b08e502f02912e"/>
      <w:bookmarkEnd w:id="110"/>
      <w:r>
        <w:rPr>
          <w:rFonts w:ascii="Times New Roman;serif" w:hAnsi="Times New Roman;serif"/>
          <w:b w:val="false"/>
          <w:color w:val="000000"/>
          <w:sz w:val="20"/>
        </w:rPr>
        <w:t>(C)    the Board of Directors determines that such Nominee’s nomination or election to the Board of Directors would result in the corporation violating or failing to be in compliance with the Certificate of Incorporation, these Bylaws or any applicable law, rule or regulation to which the corporation is subject, including any rules or regulations of any stock exchange on which the corporation’s common stock is traded;</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11" w:name="icdee95be140649148f4d7426e603e2d7"/>
      <w:bookmarkEnd w:id="111"/>
      <w:r>
        <w:rPr>
          <w:rFonts w:ascii="Times New Roman;serif" w:hAnsi="Times New Roman;serif"/>
          <w:b w:val="false"/>
          <w:color w:val="000000"/>
          <w:sz w:val="20"/>
        </w:rPr>
        <w:t xml:space="preserve">(D)    the Nominee was nominated for election to the Board of Directors pursuant to this Section 5(d) at one of the corporation’s two preceding annual meetings of stockholders and (i) its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nomination was withdrawn, (ii) such Nominee became ineligible to serve as a Nominee or as a director or (iii) such Nominee received a vote of less than 25% of the shares of common stock entitled to vote for such Nominee; or</w:t>
      </w:r>
    </w:p>
    <w:p>
      <w:pPr>
        <w:pStyle w:val="TextBody"/>
        <w:bidi w:val="0"/>
        <w:spacing w:lineRule="auto" w:line="288" w:before="120" w:after="120"/>
        <w:ind w:left="0" w:right="0" w:firstLine="2880"/>
        <w:jc w:val="left"/>
        <w:rPr>
          <w:rFonts w:ascii="Times New Roman;serif" w:hAnsi="Times New Roman;serif"/>
          <w:b w:val="false"/>
          <w:color w:val="000000"/>
          <w:sz w:val="20"/>
        </w:rPr>
      </w:pPr>
      <w:bookmarkStart w:id="112" w:name="ic9cce310d19947c59fb82a5971e242ac"/>
      <w:bookmarkEnd w:id="112"/>
      <w:r>
        <w:rPr>
          <w:rFonts w:ascii="Times New Roman;serif" w:hAnsi="Times New Roman;serif"/>
          <w:b w:val="false"/>
          <w:color w:val="000000"/>
          <w:sz w:val="20"/>
        </w:rPr>
        <w:t>(E)    (i) the Nominating Stockholder fails to continue to satisfy the eligibility requirements described in Section 5(d)(3), (ii) any of the representations and warranties made in the Proxy Access Notice cease to be true, complete and correct in all respects (or omit to state a material fact necessary to make the statements made therein not misleading), (iii) the Nominee becomes unwilling or unable to serve on the Board of Directors or (iv) the Nominating Stockholder or the Nominee materially violates or breaches any of its agreements, representations or warranties in this Section 5(d).</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13" w:name="i9f611caecb374ef683e12f6d96ad82a5"/>
      <w:bookmarkEnd w:id="113"/>
      <w:r>
        <w:rPr>
          <w:rFonts w:ascii="Times New Roman;serif" w:hAnsi="Times New Roman;serif"/>
          <w:b w:val="false"/>
          <w:color w:val="000000"/>
          <w:sz w:val="20"/>
        </w:rPr>
        <w:t>(ii)    Notwithstanding anything to the contrary contained in this Section 5(d), the corporation may omit from its proxy materials, or may supplement or correct, any information, including all or any portion of the Supporting Statement included in the Proxy Access Notice, if: (A) such information is not true and correct in all respects or omits to state a material fact necessary to make the statements made therein not misleading; (B) such information directly or indirectly impugns the character, integrity or personal reputation of, or, without factual foundation, directly or indirectly makes charges concerning improper, illegal or immoral conduct or associations with respect to, any person; or (C) the inclusion of such information in the proxy materials would otherwise violate the Commission’s proxy rules or any other applicable law, rule or regulation. Once submitted with a Proxy Access Notice, a Supporting Statement may not be amended, supplemented or modified by the Nominee or Nominating Stockholder.</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14" w:name="i61cb1eff748b49dea48e69e825855622"/>
      <w:bookmarkEnd w:id="114"/>
      <w:r>
        <w:rPr>
          <w:rFonts w:ascii="Times New Roman;serif" w:hAnsi="Times New Roman;serif"/>
          <w:b w:val="false"/>
          <w:color w:val="000000"/>
          <w:sz w:val="20"/>
        </w:rPr>
        <w:t>(iii)    For the avoidance of doubt, the corporation may solicit against, and include in the proxy materials its own statement relating to, any Nominee.</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15" w:name="i6223f33d46de4131b9633579d5f4c591"/>
      <w:bookmarkEnd w:id="115"/>
      <w:r>
        <w:rPr>
          <w:rFonts w:ascii="Times New Roman;serif" w:hAnsi="Times New Roman;serif"/>
          <w:b w:val="false"/>
          <w:color w:val="000000"/>
          <w:sz w:val="20"/>
        </w:rPr>
        <w:t>(iv)    This Section 5(d) provides the exclusive method for a stockholder to include nominees for election to the Board of Directors in the corporation’s proxy materials (including, without limitation, any proxy card or written ballot).</w:t>
      </w:r>
    </w:p>
    <w:p>
      <w:pPr>
        <w:pStyle w:val="TextBody"/>
        <w:bidi w:val="0"/>
        <w:spacing w:lineRule="auto" w:line="288" w:before="120" w:after="120"/>
        <w:ind w:left="0" w:right="0" w:firstLine="2160"/>
        <w:jc w:val="left"/>
        <w:rPr>
          <w:rFonts w:ascii="Times New Roman;serif" w:hAnsi="Times New Roman;serif"/>
          <w:b w:val="false"/>
          <w:color w:val="000000"/>
          <w:sz w:val="20"/>
        </w:rPr>
      </w:pPr>
      <w:bookmarkStart w:id="116" w:name="i063cd5d09918479995e5da51ea3609c5"/>
      <w:bookmarkEnd w:id="116"/>
      <w:r>
        <w:rPr>
          <w:rFonts w:ascii="Times New Roman;serif" w:hAnsi="Times New Roman;serif"/>
          <w:b w:val="false"/>
          <w:color w:val="000000"/>
          <w:sz w:val="20"/>
        </w:rPr>
        <w:t>(v)    The interpretation of, and compliance with, any provision of this Section 5(d), including the representations, warranties and covenants contained herein, shall be determined by the Board of Directors or, in the discretion of the Board of Directors, one or more of its designees, in each case acting in good faith.</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17" w:name="icff7547daf6743b0b1e005e6675a1ba5"/>
      <w:bookmarkEnd w:id="117"/>
      <w:r>
        <w:rPr>
          <w:rFonts w:ascii="Times New Roman;serif" w:hAnsi="Times New Roman;serif"/>
          <w:b w:val="false"/>
          <w:color w:val="000000"/>
          <w:sz w:val="20"/>
        </w:rPr>
        <w:t>(e)    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Exchange Act. Nothing in these Bylaws shall be deemed to affect any rights of stockholders to request inclusion of proposals in the corporation’s proxy statement pursuant to Rule 14a-8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18" w:name="i8425cbf097f14eec8df01762936967aa"/>
      <w:bookmarkEnd w:id="118"/>
      <w:r>
        <w:rPr>
          <w:rFonts w:ascii="Times New Roman;serif" w:hAnsi="Times New Roman;serif"/>
          <w:b/>
          <w:color w:val="000000"/>
          <w:sz w:val="20"/>
        </w:rPr>
        <w:t>Section 6.    Special Meetings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19" w:name="i3e95dbfa5a1b41a6b278c4c04a9c0df9"/>
      <w:bookmarkEnd w:id="119"/>
      <w:r>
        <w:rPr>
          <w:rFonts w:ascii="Times New Roman;serif" w:hAnsi="Times New Roman;serif"/>
          <w:b w:val="false"/>
          <w:color w:val="000000"/>
          <w:sz w:val="20"/>
        </w:rPr>
        <w:t>(a)    Special meetings of the stockholders of the corporation may be called, for any purpose or purposes, (i) by the Chair of the Board of Directors, (ii) by the Chief Executive Officer, (iii)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upon written request to the Secretary, by one or more holders of record as of the record date fixed in accordance with Section 6(e) of the corporation’s common stock owning not less than 20% of the total number of shares of common stock of the corporation entitled to vote on the matter or matters to be brought before the proposed special meeting, who otherwise comply with such other requirements and procedures set forth in this Section 6. The notice of a special meeting shall state the purpose or purposes of the special meeting, and the business to be conducted at the special meeting shall be limited to the purpose or purposes stated in the notice. Except in accordance with this Section 6, stockholders shall not be permitted to propose business to be brought before a special meeting of the stockholders. Stockholders who nominate persons for election to the Board of Directors at a special meeting must also comply with the requirements set forth in Section 5(c). The Board of Directors may postpone, reschedule or cancel any special meeting of stockholders.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20" w:name="ie2c294c662dc4b029b83b566e6aa9003"/>
      <w:bookmarkEnd w:id="120"/>
      <w:r>
        <w:rPr>
          <w:rFonts w:ascii="Times New Roman;serif" w:hAnsi="Times New Roman;serif"/>
          <w:b w:val="false"/>
          <w:color w:val="000000"/>
          <w:sz w:val="20"/>
        </w:rPr>
        <w:t xml:space="preserve">(b)    No stockholder may demand that the Secretary of the corporation call a special meeting of the stockholders pursuant to Section 6(a) unless a stockholder of record has first submitted a request in writing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Board of Directors fix a record date (a “Demand Record Date”) for the purpose of determining the stockholders entitled to demand that the Secretary of the corporation call such special meeting, which request shall be in proper form and delivered to, or mailed and received by, the Secretary of the corporation at the principal executive offices of the corporation.</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21" w:name="i334c7ffbd9514e1ba82e1b4ffd257629"/>
      <w:bookmarkEnd w:id="121"/>
      <w:r>
        <w:rPr>
          <w:rFonts w:ascii="Times New Roman;serif" w:hAnsi="Times New Roman;serif"/>
          <w:b w:val="false"/>
          <w:color w:val="000000"/>
          <w:sz w:val="20"/>
        </w:rPr>
        <w:t xml:space="preserve">(c)    To be in proper form for purposes of this Section 6, a request by a stockholder for the Board of Directors to fix a Demand Record Date shall set forth: </w:t>
      </w:r>
    </w:p>
    <w:p>
      <w:pPr>
        <w:pStyle w:val="TextBody"/>
        <w:bidi w:val="0"/>
        <w:spacing w:lineRule="auto" w:line="288" w:before="120" w:after="120"/>
        <w:ind w:left="0" w:right="0" w:hanging="360"/>
        <w:jc w:val="left"/>
        <w:rPr>
          <w:rFonts w:ascii="Times New Roman;serif" w:hAnsi="Times New Roman;serif"/>
          <w:b w:val="false"/>
          <w:color w:val="000000"/>
          <w:sz w:val="20"/>
        </w:rPr>
      </w:pPr>
      <w:bookmarkStart w:id="122" w:name="i29e9b5aa49744f1ebda1d8d4a985e217"/>
      <w:bookmarkEnd w:id="122"/>
      <w:r>
        <w:rPr>
          <w:rFonts w:ascii="Times New Roman;serif" w:hAnsi="Times New Roman;serif"/>
          <w:b w:val="false"/>
          <w:color w:val="000000"/>
          <w:sz w:val="20"/>
        </w:rPr>
        <w:t>(i)    As to each Requesting Person (as defined below), the Stockholder Information (as defined in Section 5(b)(2)(i), except that for purposes of this Section 6 the term “Requesting Person” shall be substituted for the term “Proposing Person” in all places it appears in Section 5(b)(2)(i));</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    As to each Requesting Person, whether such Requesting Person intends to deliver a proxy statement and form of proxy to holders of at least the percentage of the corporation’s voting shares required under applicable law to carry the proposal (an affirmative statement of such intent, a “Solicitation Notice”);</w:t>
      </w:r>
    </w:p>
    <w:p>
      <w:pPr>
        <w:pStyle w:val="TextBody"/>
        <w:bidi w:val="0"/>
        <w:spacing w:lineRule="auto" w:line="288" w:before="120" w:after="120"/>
        <w:ind w:left="0" w:right="0" w:hanging="360"/>
        <w:jc w:val="left"/>
        <w:rPr>
          <w:rFonts w:ascii="Times New Roman;serif" w:hAnsi="Times New Roman;serif"/>
          <w:b w:val="false"/>
          <w:color w:val="000000"/>
          <w:sz w:val="20"/>
        </w:rPr>
      </w:pPr>
      <w:bookmarkStart w:id="123" w:name="i2c213b85e6d241d485ff0a8ff0c890ff"/>
      <w:bookmarkEnd w:id="123"/>
      <w:r>
        <w:rPr>
          <w:rFonts w:ascii="Times New Roman;serif" w:hAnsi="Times New Roman;serif"/>
          <w:b w:val="false"/>
          <w:color w:val="000000"/>
          <w:sz w:val="20"/>
        </w:rPr>
        <w:t xml:space="preserve">(iii)    As to each Requesting Person, any Disclosable Interests (as defined in Section 5(b)(2)(iii), except that for purposes of this Section 6 the term “Requesting Person” shall be substituted for the term “Proposing Person” in all places it appears in Section 5(b)(2)(iii) and the disclosure with respect to the business to be brought before the meeting in Section 5(b)(2)(iii) shall be made with respect to the business proposed to be conducted at the special meeting or the proposed election of directors at the special meeting, as the case may be); </w:t>
      </w:r>
    </w:p>
    <w:p>
      <w:pPr>
        <w:pStyle w:val="TextBody"/>
        <w:bidi w:val="0"/>
        <w:spacing w:lineRule="auto" w:line="288" w:before="120" w:after="120"/>
        <w:ind w:left="0" w:right="0" w:hanging="360"/>
        <w:jc w:val="left"/>
        <w:rPr>
          <w:rFonts w:ascii="Times New Roman;serif" w:hAnsi="Times New Roman;serif"/>
          <w:b w:val="false"/>
          <w:color w:val="000000"/>
          <w:sz w:val="20"/>
        </w:rPr>
      </w:pPr>
      <w:bookmarkStart w:id="124" w:name="ieb1a977be79f40efa54227f83cc1eea6"/>
      <w:bookmarkEnd w:id="124"/>
      <w:r>
        <w:rPr>
          <w:rFonts w:ascii="Times New Roman;serif" w:hAnsi="Times New Roman;serif"/>
          <w:b w:val="false"/>
          <w:color w:val="000000"/>
          <w:sz w:val="20"/>
        </w:rPr>
        <w:t>(iv)    As to the purpose or purposes of the special meeting, (A) a reasonably brief description of the purpose or purposes of the special meeting and the business proposed to be conducted at the special meeting, the reasons for conducting such business at the special meeting and any material interest in such business of each Requesting Person, and (B) a reasonably detailed description of all agreements, arrangements and understandings (x) between or among any of the Requesting Persons or (y) between or among any Requesting Person and any other person or entity (including their names) in connection with the request for the special meeting or the business proposed to be conducted at the special meeting; and</w:t>
      </w:r>
    </w:p>
    <w:p>
      <w:pPr>
        <w:pStyle w:val="TextBody"/>
        <w:bidi w:val="0"/>
        <w:spacing w:lineRule="auto" w:line="288" w:before="120" w:after="120"/>
        <w:ind w:left="0" w:right="0" w:hanging="360"/>
        <w:jc w:val="left"/>
        <w:rPr>
          <w:rFonts w:ascii="Times New Roman;serif" w:hAnsi="Times New Roman;serif"/>
          <w:b w:val="false"/>
          <w:color w:val="000000"/>
          <w:sz w:val="20"/>
        </w:rPr>
      </w:pPr>
      <w:bookmarkStart w:id="125" w:name="i5176aa7276d44e2ea29fa904e7d55018"/>
      <w:bookmarkEnd w:id="125"/>
      <w:r>
        <w:rPr>
          <w:rFonts w:ascii="Times New Roman;serif" w:hAnsi="Times New Roman;serif"/>
          <w:b w:val="false"/>
          <w:color w:val="000000"/>
          <w:sz w:val="20"/>
        </w:rPr>
        <w:t>(v)    If directors are proposed to be elected at the special meeting, the Nominee Information for each person whom a Requesting Person expects to nominate for election as a director at the special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purposes of this Section 6(c), the term “Requesting Person” shall mean (i) the stockholder making the request to fix a Demand Record Date for the purpose of determining the stockholders entitled to demand that the Secretary call a special meeting, (ii) the beneficial owner or beneficial owners, if different, on whose behalf such request is made, (iii) any affiliate or associate (each as defined in Rule 12b-2 under the Exchange Act) of such stockholder or beneficial owner, (iv) any person or entity who is a member of a group (as such term is used in Rule 13d-5 under the Exchange Act) with such stockholder or beneficial owner(s) with respect to acquiring, holding, voting or disposing of any securities of the corporation, (v) any participant (as defined in paragraphs (a)(ii)-(vi) of Instruction 3 to Item 4 of Schedule 14A) with such stockholder or beneficial owner(s) with respect to any proposed business or nomination, as applicable, under these Bylaws, (vi) any beneficial owner of shares of stock of the corporation owned of record by such stockholder and (vii) any proposed person whom such stockholder or beneficial owner(s) proposes to nominate for election as a director at such special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26" w:name="i4a18906795df4311852c139eb37328a8"/>
      <w:bookmarkEnd w:id="126"/>
      <w:r>
        <w:rPr>
          <w:rFonts w:ascii="Times New Roman;serif" w:hAnsi="Times New Roman;serif"/>
          <w:b w:val="false"/>
          <w:color w:val="000000"/>
          <w:sz w:val="20"/>
        </w:rPr>
        <w:t>(d)    The Board of Directors may request that any Requesting Person furnish such additional information as may be reasonably required by the Board of Directors. Such Requesting Person shall provide such additional information within ten (10) days after it has been requested by the Board of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27" w:name="if5a88646b83d48719a4033179b0ea535"/>
      <w:bookmarkEnd w:id="127"/>
      <w:r>
        <w:rPr>
          <w:rFonts w:ascii="Times New Roman;serif" w:hAnsi="Times New Roman;serif"/>
          <w:b w:val="false"/>
          <w:color w:val="000000"/>
          <w:sz w:val="20"/>
        </w:rPr>
        <w:t xml:space="preserve">(e)    Within ten (10) days after receipt of a request to fix a Demand Record Date in proper form and otherwise in compliance with this Section 6 from any stockholder of record, the Board of Directors may adopt a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resolution fixing a Demand Record Date for the purpose of determining the stockholders entitled to demand that the Secretary of the corporation call a special meeting, which date shall not precede the date upon which the resolution fixing the Demand Record Date is adopted by the Board of Directors. If no resolution fixing a Demand Record Date has been adopted by the Board of Directors within the ten (10) day period after the date on which such a request to fix a Demand Record Date was received, the Demand Record Date in respect thereof shall be deemed to be the twentieth (20th) day after the date on which such a request is received. Notwithstanding anything in this Section 6 to the contrary, no Demand Record Date shall be fixed if the Board of Directors determines that the demand or demands that would otherwise be submitted following such Demand Record Date could not comply with the requirements set forth in clauses (ii), (iv), (v) or (vi) of Section 6(g).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28" w:name="ie1596b5fed2b43d0bb7fe798bb861883"/>
      <w:bookmarkEnd w:id="128"/>
      <w:r>
        <w:rPr>
          <w:rFonts w:ascii="Times New Roman;serif" w:hAnsi="Times New Roman;serif"/>
          <w:b w:val="false"/>
          <w:color w:val="000000"/>
          <w:sz w:val="20"/>
        </w:rPr>
        <w:t>(f)    Without qualification, a special meeting of the stockholders shall not be called pursuant to Section 6(a) unless stockholders of record as of the Demand Record Date who hold, in the aggregate, more than 20 percent of the voting power of the outstanding shares of capital stock of the corporation (the “Requisite Percentage”) timely provide one or more demands to call such special meeting in writing and in proper form to the Secretary of the corporation at the principal executive offices of the corporation. Only stockholders of record on the Demand Record Date shall be entitled to demand that the Secretary of the corporation call a special meeting of the stockholders pursuant to Section 6(a). To be timely, a stockholder’s demand to call a special meeting must be delivered to, or mailed and received at, the principal executive offices of the corporation not later than the sixtieth (60th) day following the Demand Record Date. To be in proper form for purposes of this Section 6,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and (iii) with respect to any stockholder or stockholders submitting a demand to call a special meeting (except for any stockholder that has provided such demand in response to a solicitation made pursuant to, and in accordance with, Section 14(a) of the Exchange Act by way of a solicitation statement filed on Schedule 14A (a “Solicited Stockholder”)) the information required to be provided pursuant to this Section 6 by a Requesting Person. A stockholder may revoke a demand to call a special meeting by written revocation delivered to the Secretary at any time prior to the special meeting. If any such revocation(s) are received by the Secretary after the Secretary’s receipt of written demands from the holders of the Requisite Percentage of stockholders, and as a result of such revocation(s), there no longer are unrevoked demands from the Requisite Percentage of stockholders to call a special meeting, the Board of Directors shall have the discretion to determine whether or not to proceed with the special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29" w:name="i666d705fb7534c448f6239477d0f7f9e"/>
      <w:bookmarkEnd w:id="129"/>
      <w:r>
        <w:rPr>
          <w:rFonts w:ascii="Times New Roman;serif" w:hAnsi="Times New Roman;serif"/>
          <w:b w:val="false"/>
          <w:color w:val="000000"/>
          <w:sz w:val="20"/>
        </w:rPr>
        <w:t>(g)    The Secretary shall not accept, and shall consider ineffective, a written demand from a stockholder to call a special meeting (i) that does not comply with this Section 6, (ii) that relates to an item of business to be transacted at such meeting that is not a proper subject for stockholder action under applicable law, (iii) that includes an item of business to be transacted at such meeting that did not appear on the written request that resulted in the determination of the Demand Record Date, (iv) that relates to an item of business (other than the election of directors) that is identical or substantially similar to an item of business (a “Similar Item”) for which a record date for notice of a stockholder meeting (other than the Demand Record Date) was previously fixed and such demand is delivered between the time beginning on the sixty-first (61st) day after such previous record date and ending on the one-year anniversary of such previous record date, (v) if a Similar Item will be submitted for stockholder approval at any stockholder meeting to be held on or before the ninetieth (90th) day after the Secretary receives such demand, or (vi) if a Similar Item has been presented at the most recent annual meeting or at any special meeting held within one year prior to receipt by the Secretary of such demand to call a special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30" w:name="i220e4a67021842f8a9f4d535f684eebe"/>
      <w:bookmarkEnd w:id="130"/>
      <w:r>
        <w:rPr>
          <w:rFonts w:ascii="Times New Roman;serif" w:hAnsi="Times New Roman;serif"/>
          <w:b w:val="false"/>
          <w:color w:val="000000"/>
          <w:sz w:val="20"/>
        </w:rPr>
        <w:t>(h)    After receipt of demands in proper form and in accordance with this Section 6 from a stockholder or stockholders holding the Requisite Percentage, the Board of Directors shall duly call, and determine the place, if any, date and time of, a special meeting of stockholders for the purpose or purposes and to conduct the business specified in the demands received by the corporation. Notwithstanding anything in these Bylaws to the contrary, the Board of Directors may submit its own proposal or proposals for consideration at such a special meeting. The record date for notice and voting for such a special meeting shall be fixed in accordance with Section 40 of these Bylaws. The Board of Directors shall provide written notice of such special meeting to the stockholders in accordance with Section 7.</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31" w:name="i1c7e0df6d65d406ba8493df1fc5616c1"/>
      <w:bookmarkEnd w:id="131"/>
      <w:r>
        <w:rPr>
          <w:rFonts w:ascii="Times New Roman;serif" w:hAnsi="Times New Roman;serif"/>
          <w:b w:val="false"/>
          <w:color w:val="000000"/>
          <w:sz w:val="20"/>
        </w:rPr>
        <w:t xml:space="preserve">(i)    In connection with a special meeting called in accordance with this Section 6, the stockholder or stockholders (except for any Solicited Stockholder) who requested that the Board of Directors fix a record date for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purpose of determining the stockholders entitled to demand that the Secretary of the corporation call a special meeting in accordance with this Section 6 or who delivered a demand to call a special meeting to the Secretary shall further update and supplement the information previously provided to the corporation in connection with such request or demand, if necessary, so that the information provided or required to be provided in such request or demand pursuant to this Section 6 shall be true and correct as of the record date for stockholders entitled to vote at the special meeting and as of the date that is ten (10) business days prior to the special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special meeting (in the case of the update and supplement required to be made as of such record date), and not later than eight (8) business days prior to the date for the special meeting or, if practicable, any adjournment or postponement thereof (and, if not practicable, on the first practicable date prior to the date to which the special meeting has been adjourned or postponed) (in the case of the update and supplement required to be made as of ten (10) business days prior to the special meeting or any adjournment or postponement thereof). For the avoidance of doubt, the obligation to update and supplement as set forth in this paragraph or any other section of these Bylaws shall not limit the corporation’s rights with respect to any deficiencies in any request or demand provided by a stockholder, extend any applicable deadlines hereunder or enable or be deemed to permit a stockholder who has previously submitted a request or demand hereunder to amend or update any such request or demand, including by changing or adding nominees, matters, business or resolutions proposed to be brought before a meeting of the stockholders.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32" w:name="ib889355e50bd4803908fdeeb0a93159d"/>
      <w:bookmarkEnd w:id="132"/>
      <w:r>
        <w:rPr>
          <w:rFonts w:ascii="Times New Roman;serif" w:hAnsi="Times New Roman;serif"/>
          <w:b w:val="false"/>
          <w:color w:val="000000"/>
          <w:sz w:val="20"/>
        </w:rPr>
        <w:t>(j)    Notwithstanding anything in these Bylaws to the contrary, the Secretary shall not be required to call a special meeting pursuant to this Section 6 except in accordance with this Section 6. If the Board of Directors shall determine that any request to fix a record date for the purpose of determining the stockholders entitled to demand that the Secretary of the corporation call a special meeting or demand to call and hold a special meeting was not properly made in accordance with this Section 6, or shall determine that the stockholder or stockholders requesting that the Board of Directors fix such record date or submitting a demand to call the special meeting have not otherwise complied with this Section 6, then the Board of Directors shall not be required to fix such record date or to call and hold the special meeting. In addition to the requirements of this Section 6, each Requesting Person shall comply with all requirements of applicable law, including all requirements of the Exchange Act, with respect to any request to fix a record date for the purpose of determining the stockholders entitled to demand that the Secretary of the corporation call a special meeting or demand to call a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33" w:name="ib083ea8898d24dcfbda5fb0170d8ebe4"/>
      <w:bookmarkEnd w:id="133"/>
      <w:r>
        <w:rPr>
          <w:rFonts w:ascii="Times New Roman;serif" w:hAnsi="Times New Roman;serif"/>
          <w:b/>
          <w:color w:val="000000"/>
          <w:sz w:val="20"/>
        </w:rPr>
        <w:t>Section 7.    Notice of Meetings</w:t>
      </w:r>
      <w:r>
        <w:rPr>
          <w:rFonts w:ascii="Times New Roman;serif" w:hAnsi="Times New Roman;serif"/>
          <w:b w:val="false"/>
          <w:color w:val="000000"/>
          <w:sz w:val="20"/>
        </w:rPr>
        <w:t>. Except as otherwise provided by law, the Certificate of Incorporation, or these Bylaws, notice of each meeting of stockholders shall be given not less than ten (10) nor more than sixty (60) days before the date of the meeting to each stockholder entitled to vote at such meeting, such notice to specify the place (if any), the means of remote communication (if any) by which stockholders and proxy holders may be deemed to be present in person and vote at such meeting, date and hour and purpose or purposes of the meeting. Notice of the time, place (if any), the means of remote communication (if any) and purpose of any meeting of stockholders may be waived in writing or by electronic transmission, signed by the person entitled to notice thereof, either before or after such meeting, and will be waived by any stockholder by his or her attendance thereat in person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34" w:name="ic85e63fa01b043819485dd2cbf57544c"/>
      <w:bookmarkEnd w:id="134"/>
      <w:r>
        <w:rPr>
          <w:rFonts w:ascii="Times New Roman;serif" w:hAnsi="Times New Roman;serif"/>
          <w:b/>
          <w:color w:val="000000"/>
          <w:sz w:val="20"/>
        </w:rPr>
        <w:t>Section 8.    Quorum and Voting</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35" w:name="iad98da8cb040484fa4a0197f530145ae"/>
      <w:bookmarkEnd w:id="135"/>
      <w:r>
        <w:rPr>
          <w:rFonts w:ascii="Times New Roman;serif" w:hAnsi="Times New Roman;serif"/>
          <w:b w:val="false"/>
          <w:color w:val="000000"/>
          <w:sz w:val="20"/>
        </w:rPr>
        <w:t xml:space="preserve">(a)    At all meetings of stockholders, except where otherwise provided by statute or by the Certificate of Incorporation, or by these Bylaws, the presence, in person, or by remote communication, if applicable, or by proxy duly authorized, of the holders of a majority of the outstanding shares of stock entitled to vote shall constitute a quorum for the transaction of business. In the absence of a quorum, any meeting of stockholders may be recessed or adjourned, from time to time, either by the chair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may be otherwise provided in the Certificate of Incorporation, these Bylaws or the DGCL, each stockholder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entitled to one (1) vote for each share of capital stock held by such stockholder. Except as otherwise provided by statute, the Certificate of Incorporation or these Bylaws, in all matters other than the election of directors, the affirmative vote (excluding “abstentions” and “broker non-votes”) of the majority of shares present in person or represented by proxy at the meeting and entitled to vote on the subject matter shall be the act of the stockholders. Where a separate vote by a class or classes or series is required, except where otherwise provided by statute or by the Certificate of Incorporation or these Bylaws, a majority of the outstanding shares of such class or classes or series, present in person or represented by proxy, shall constitute a quorum entitled to take action with respect to that vote on that matter and, except where otherwise provided by statute or by the Certificate of Incorporation or these Bylaws, in all matters other than the election of directors, the affirmative vote of the majority of the votes cast by the holders of shares of such class or classes or series shall be the act of such class or classes or series.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36" w:name="id506db387244475cb064dd1b8485e5fd"/>
      <w:bookmarkEnd w:id="136"/>
      <w:r>
        <w:rPr>
          <w:rFonts w:ascii="Times New Roman;serif" w:hAnsi="Times New Roman;serif"/>
          <w:b w:val="false"/>
          <w:color w:val="000000"/>
          <w:sz w:val="20"/>
        </w:rPr>
        <w:t>(b)    Directors shall be elected in the following manner:</w:t>
      </w:r>
    </w:p>
    <w:p>
      <w:pPr>
        <w:pStyle w:val="TextBody"/>
        <w:bidi w:val="0"/>
        <w:spacing w:lineRule="auto" w:line="288" w:before="120" w:after="120"/>
        <w:ind w:left="0" w:right="0" w:firstLine="1440"/>
        <w:jc w:val="left"/>
        <w:rPr/>
      </w:pPr>
      <w:bookmarkStart w:id="137" w:name="i8408cfafe8884c7b83832e290e3196f4"/>
      <w:bookmarkEnd w:id="137"/>
      <w:r>
        <w:rPr>
          <w:rFonts w:ascii="Times New Roman;serif" w:hAnsi="Times New Roman;serif"/>
          <w:b w:val="false"/>
          <w:color w:val="000000"/>
          <w:sz w:val="20"/>
        </w:rPr>
        <w:t xml:space="preserve">(1)    Each director to be elected by the stockholders of the corporation shall be elected by the affirmative vote of a majority of the votes cast with respect to such director by the shares represented and entitled to vote therefor at a meeting of the stockholders for the election of directors at which a quorum is present (an “Election Meeting”); </w:t>
      </w:r>
      <w:r>
        <w:rPr>
          <w:rFonts w:ascii="Times New Roman;serif" w:hAnsi="Times New Roman;serif"/>
          <w:b w:val="false"/>
          <w:i/>
          <w:color w:val="000000"/>
          <w:sz w:val="20"/>
        </w:rPr>
        <w:t>provided</w:t>
      </w:r>
      <w:r>
        <w:rPr>
          <w:rFonts w:ascii="Times New Roman;serif" w:hAnsi="Times New Roman;serif"/>
          <w:b w:val="false"/>
          <w:color w:val="000000"/>
          <w:sz w:val="20"/>
        </w:rPr>
        <w:t>, that if, as of the tenth (10</w:t>
      </w:r>
      <w:r>
        <w:rPr>
          <w:rFonts w:ascii="Times New Roman;serif" w:hAnsi="Times New Roman;serif"/>
          <w:b w:val="false"/>
          <w:color w:val="000000"/>
          <w:sz w:val="16"/>
        </w:rPr>
        <w:t>th</w:t>
      </w:r>
      <w:r>
        <w:rPr>
          <w:rFonts w:ascii="Times New Roman;serif" w:hAnsi="Times New Roman;serif"/>
          <w:b w:val="false"/>
          <w:color w:val="000000"/>
          <w:sz w:val="20"/>
        </w:rPr>
        <w:t>) day preceding the date the corporation first mails or otherwise transmits its notice of meeting for such meeting to the stockholders of the corporation, a stockholder has given notice pursuant to Section 5(c) or 5(d) such that the number of nominees exceeds the number of directors to be elected (a “Contested Election”), each of the directors to be elected at the Election Meeting shall be elected by the affirmative vote of a plurality of the votes cast by the shares represented and entitled to vote at such meeting with respect to the election of such director.</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138" w:name="ib8adc103a8fd48ecb210c95f62e74d3d"/>
      <w:bookmarkEnd w:id="138"/>
      <w:r>
        <w:rPr>
          <w:rFonts w:ascii="Times New Roman;serif" w:hAnsi="Times New Roman;serif"/>
          <w:b w:val="false"/>
          <w:color w:val="000000"/>
          <w:sz w:val="20"/>
        </w:rPr>
        <w:t>(2)    For purposes of this Section 8(b), a “majority of the votes cast” means that the number of votes cast “for” a candidate for director exceeds the number of votes cast “against” that director (with “abstentions” and “broker non-votes” not counted as votes cast as either “for” or “against” such director’s election). In an election other than a Contested Election, stockholders will be given the choice to cast votes “for” or “against” the election of directors or to “abstain” from such vote and shall not have the ability to cast any other vote with respect to such election of directors. In a Contested Election, stockholders will be given the choice to cast “for” or “withhold” votes for the election of directors and shall not have the ability to cast any other vote with respect to such election of directors. In the event an Election Meeting involves the election of directors by separate votes by class or classes or series, the determination as to whether an election constitutes a Contested Election shall be made on a class by class or series by series basis, as applicable. The Board of Directors shall establish and maintain procedures under which any incumbent director who is not elected by a majority of votes cast shall be expected to offer to tender his or her resignation to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39" w:name="id7dcf4bba054497aa09bcbe0057dc7af"/>
      <w:bookmarkEnd w:id="139"/>
      <w:r>
        <w:rPr>
          <w:rFonts w:ascii="Times New Roman;serif" w:hAnsi="Times New Roman;serif"/>
          <w:b/>
          <w:color w:val="000000"/>
          <w:sz w:val="20"/>
        </w:rPr>
        <w:t>Section 9.    Adjournment and Notice of Adjourned Meetings</w:t>
      </w:r>
      <w:r>
        <w:rPr>
          <w:rFonts w:ascii="Times New Roman;serif" w:hAnsi="Times New Roman;serif"/>
          <w:b w:val="false"/>
          <w:color w:val="000000"/>
          <w:sz w:val="20"/>
        </w:rPr>
        <w:t>. Any meeting of stockholders, whether annual or special, may be adjourned from time to time by either the chair of the meeting (regardless of whether a quorum is present) or the vote of a majority of the shares casting votes. When a meeting is adjourned to another time or place, unless these Bylaws otherwise require, notice need not be given of the adjourned meeting if the time, place (if any), thereof, and the means of remote communication (if any) by which stockholders and proxy holders may be deemed to be present in person and vote at such adjourned meeting are announced at the meeting at which the adjournment is taken or are provided in any other manner permitted by the DGCL.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40" w:name="i0e6835bd61da406cbf5fe131f77b4f5b"/>
      <w:bookmarkEnd w:id="140"/>
      <w:r>
        <w:rPr>
          <w:rFonts w:ascii="Times New Roman;serif" w:hAnsi="Times New Roman;serif"/>
          <w:b/>
          <w:color w:val="000000"/>
          <w:sz w:val="20"/>
        </w:rPr>
        <w:t>Section 10.    Voting Rights</w:t>
      </w:r>
      <w:r>
        <w:rPr>
          <w:color w:val="000000"/>
        </w:rPr>
        <w:t xml:space="preserve"> </w:t>
      </w:r>
      <w:r>
        <w:rPr>
          <w:rFonts w:ascii="Times New Roman;serif" w:hAnsi="Times New Roman;serif"/>
          <w:b/>
          <w:color w:val="000000"/>
          <w:sz w:val="20"/>
        </w:rPr>
        <w:t>and Proxies</w:t>
      </w:r>
      <w:r>
        <w:rPr>
          <w:rFonts w:ascii="Times New Roman;serif" w:hAnsi="Times New Roman;serif"/>
          <w:b w:val="false"/>
          <w:color w:val="000000"/>
          <w:sz w:val="20"/>
        </w:rPr>
        <w:t xml:space="preserve">. </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41" w:name="i96e6fde66e4a4b64ad2e04ef43ffbe6e"/>
      <w:bookmarkEnd w:id="141"/>
      <w:r>
        <w:rPr>
          <w:rFonts w:ascii="Times New Roman;serif" w:hAnsi="Times New Roman;serif"/>
          <w:b w:val="false"/>
          <w:color w:val="000000"/>
          <w:sz w:val="20"/>
        </w:rPr>
        <w:t xml:space="preserve">(a)    For the purpose of determining those stockholders entitled to vote at any meeting of the stockholders, except as otherwise provided by law, only persons in whose names shares stand on the stock records of the corporation on the record date, as provided in Section 12 of these Bylaws, shall be entitled to vote at any meeting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of stockholders. Every person entitled to vote shall have the right to do so either in person or by an agent or agents authorized by a proxy granted in accordance with Section 10(b) of these Bylaws.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42" w:name="i41a53cc7b3b44fd9a126573c80627ac1"/>
      <w:bookmarkEnd w:id="142"/>
      <w:r>
        <w:rPr>
          <w:rFonts w:ascii="Times New Roman;serif" w:hAnsi="Times New Roman;serif"/>
          <w:b w:val="false"/>
          <w:color w:val="000000"/>
          <w:sz w:val="20"/>
        </w:rPr>
        <w:t>(b)    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Any stockholder directly or indirectly soliciting proxies from other stockholders must use a proxy card color other than white, which shall be reserved for the exclusive use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43" w:name="ibd42b9ee3c5d4cdbb0d2df9b141fa182"/>
      <w:bookmarkEnd w:id="143"/>
      <w:r>
        <w:rPr>
          <w:rFonts w:ascii="Times New Roman;serif" w:hAnsi="Times New Roman;serif"/>
          <w:b/>
          <w:color w:val="000000"/>
          <w:sz w:val="20"/>
        </w:rPr>
        <w:t>Section 11.    Joint Owners of Stock</w:t>
      </w:r>
      <w:r>
        <w:rPr>
          <w:rFonts w:ascii="Times New Roman;serif" w:hAnsi="Times New Roman;serif"/>
          <w:b w:val="false"/>
          <w:color w:val="000000"/>
          <w:sz w:val="20"/>
        </w:rPr>
        <w:t>.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44" w:name="ibd4f62b046b34a888fe471b8cbfeeadf"/>
      <w:bookmarkEnd w:id="144"/>
      <w:r>
        <w:rPr>
          <w:rFonts w:ascii="Times New Roman;serif" w:hAnsi="Times New Roman;serif"/>
          <w:b/>
          <w:color w:val="000000"/>
          <w:sz w:val="20"/>
        </w:rPr>
        <w:t>Section 12.    List of Stockholders</w:t>
      </w:r>
      <w:r>
        <w:rPr>
          <w:rFonts w:ascii="Times New Roman;serif" w:hAnsi="Times New Roman;serif"/>
          <w:b w:val="false"/>
          <w:color w:val="000000"/>
          <w:sz w:val="20"/>
        </w:rPr>
        <w:t>. The corporation shall prepare and make, at least ten (10) days before every meeting of stockholders, a complete list of the stockholders entitled to vote at the meeting (</w:t>
      </w:r>
      <w:r>
        <w:rPr>
          <w:rFonts w:ascii="Times New Roman;serif" w:hAnsi="Times New Roman;serif"/>
          <w:b w:val="false"/>
          <w:i/>
          <w:color w:val="000000"/>
          <w:sz w:val="20"/>
        </w:rPr>
        <w:t>provided</w:t>
      </w:r>
      <w:r>
        <w:rPr>
          <w:rFonts w:ascii="Times New Roman;serif" w:hAnsi="Times New Roman;serif"/>
          <w:b w:val="false"/>
          <w:color w:val="000000"/>
          <w:sz w:val="20"/>
        </w:rPr>
        <w:t>,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during ordinary business hours,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12 or to vote in person or by proxy at any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45" w:name="iaad06f94732a4d1fa4b6210a5fe0c22e"/>
      <w:bookmarkEnd w:id="145"/>
      <w:r>
        <w:rPr>
          <w:rFonts w:ascii="Times New Roman;serif" w:hAnsi="Times New Roman;serif"/>
          <w:b/>
          <w:color w:val="000000"/>
          <w:sz w:val="20"/>
        </w:rPr>
        <w:t>Section 13.    Action By Stockholders</w:t>
      </w:r>
      <w:r>
        <w:rPr>
          <w:rFonts w:ascii="Times New Roman;serif" w:hAnsi="Times New Roman;serif"/>
          <w:b w:val="false"/>
          <w:color w:val="000000"/>
          <w:sz w:val="20"/>
        </w:rPr>
        <w:t>. No action shall be taken by the stockholders of the corporation except at an annual or special meeting of the stockholders called in accordance with Sections 5 and 6 of these Bylaws. No action shall be taken by the stockholders by written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46" w:name="i3e33360b724547cb8b9b63b11e1e2536"/>
      <w:bookmarkEnd w:id="146"/>
      <w:r>
        <w:rPr>
          <w:rFonts w:ascii="Times New Roman;serif" w:hAnsi="Times New Roman;serif"/>
          <w:b/>
          <w:color w:val="000000"/>
          <w:sz w:val="20"/>
        </w:rPr>
        <w:t>Section 14.    Organization</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47" w:name="i4e4dc319fc45423b96f6866e2790d853"/>
      <w:bookmarkEnd w:id="147"/>
      <w:r>
        <w:rPr>
          <w:rFonts w:ascii="Times New Roman;serif" w:hAnsi="Times New Roman;serif"/>
          <w:b w:val="false"/>
          <w:color w:val="000000"/>
          <w:sz w:val="20"/>
        </w:rPr>
        <w:t>(a)    At every meeting of stockholders, the Chair of the Board of Directors, or, if a Chair has not been appointed or is absent, the Chief Executive Officer, or in the absence of the foregoing persons, by a chair designated by the Board of Directors, or in the absence of such designation, by a chair of the meeting chosen by a majority in interest of the stockholders entitled to vote, present in person or by proxy, shall act as chair. The Secretary, or, in his or her absence, an Assistant Secretary directed to do so by the chair of the meeting, shall act as secretary of the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48" w:name="i01a2c138fb494e9eb94f71b1951f6cea"/>
      <w:bookmarkEnd w:id="148"/>
      <w:r>
        <w:rPr>
          <w:rFonts w:ascii="Times New Roman;serif" w:hAnsi="Times New Roman;serif"/>
          <w:b w:val="false"/>
          <w:color w:val="000000"/>
          <w:sz w:val="20"/>
        </w:rPr>
        <w:t xml:space="preserve">(b)    The Board of Directors of the corporation shall be entitled to make such rules or regulations for the conduct of meetings of stockholders as it shall deem necessary, appropriate or convenient. Subject to such rules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and regulations of the Board of Directors, if any, the chair of the meeting shall have the right and authority to prescribe such rules, regulations and procedures and to do all such acts as, in the judgment of such chair, are necessary, appropriate or convenient for the proper conduct of the meeting, including, without limitation, convening, recessing or adjourning the meeting (for any reason or no reason),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Unless and to the extent determined by the Board of Directors or the chair of the meeting, meetings of stockholders shall not be required to be held in accordance with rules of parliamentary procedure.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49" w:name="i4adcb866f26e4a3abd8d8f710e50bdb9"/>
      <w:bookmarkEnd w:id="149"/>
      <w:r>
        <w:rPr>
          <w:rFonts w:ascii="Times New Roman;serif" w:hAnsi="Times New Roman;serif"/>
          <w:b/>
          <w:color w:val="000000"/>
          <w:sz w:val="20"/>
        </w:rPr>
        <w:t>Section 15.    Inspectors of Election</w:t>
      </w:r>
      <w:r>
        <w:rPr>
          <w:rFonts w:ascii="Times New Roman;serif" w:hAnsi="Times New Roman;serif"/>
          <w:b w:val="false"/>
          <w:color w:val="000000"/>
          <w:sz w:val="20"/>
        </w:rPr>
        <w:t>. 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person presiding over the meeting shall appoint a person to fill that vacancy.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inspectors shall:</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50" w:name="i76a4bba2d09c483380c97f07e7725635"/>
      <w:bookmarkEnd w:id="150"/>
      <w:r>
        <w:rPr>
          <w:rFonts w:ascii="Times New Roman;serif" w:hAnsi="Times New Roman;serif"/>
          <w:b w:val="false"/>
          <w:color w:val="000000"/>
          <w:sz w:val="20"/>
        </w:rPr>
        <w:t>(a)    determine the number of shares outstanding and the voting power of each, the number of shares represented at the meeting and the validity of any proxies and ballots;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51" w:name="i5f50cd50aebd48da903ace6820a4ff61"/>
      <w:bookmarkEnd w:id="151"/>
      <w:r>
        <w:rPr>
          <w:rFonts w:ascii="Times New Roman;serif" w:hAnsi="Times New Roman;serif"/>
          <w:b w:val="false"/>
          <w:color w:val="000000"/>
          <w:sz w:val="20"/>
        </w:rPr>
        <w:t>(b)    count all votes or ballots;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52" w:name="i9b1aeb3fd53b4b1ab73cb1b28816b8e4"/>
      <w:bookmarkEnd w:id="152"/>
      <w:r>
        <w:rPr>
          <w:rFonts w:ascii="Times New Roman;serif" w:hAnsi="Times New Roman;serif"/>
          <w:b w:val="false"/>
          <w:color w:val="000000"/>
          <w:sz w:val="20"/>
        </w:rPr>
        <w:t>(c)    count and tabulate all votes;</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53" w:name="if7abac204bc64002a18aa64e8365ac53"/>
      <w:bookmarkEnd w:id="153"/>
      <w:r>
        <w:rPr>
          <w:rFonts w:ascii="Times New Roman;serif" w:hAnsi="Times New Roman;serif"/>
          <w:b w:val="false"/>
          <w:color w:val="000000"/>
          <w:sz w:val="20"/>
        </w:rPr>
        <w:t>(d)    determine and retain for a reasonable period a record of the disposition of any challenges made to any determination by the inspector(s); and</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54" w:name="i879d35a7d1424f119c4117e3acc3198d"/>
      <w:bookmarkEnd w:id="154"/>
      <w:r>
        <w:rPr>
          <w:rFonts w:ascii="Times New Roman;serif" w:hAnsi="Times New Roman;serif"/>
          <w:b w:val="false"/>
          <w:color w:val="000000"/>
          <w:sz w:val="20"/>
        </w:rPr>
        <w:t>(e)    certify its or their determination of the number of shares represented at the meeting and its or their count of all votes and ballots.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55" w:name="ia9663eb2acff4a40ba394f2f94c2fdbd"/>
      <w:bookmarkEnd w:id="155"/>
      <w:r>
        <w:rPr>
          <w:rFonts w:ascii="Times New Roman;serif" w:hAnsi="Times New Roman;serif"/>
          <w:b/>
          <w:color w:val="000000"/>
          <w:sz w:val="20"/>
        </w:rPr>
        <w:t>Section 16.    Delivery to the Corporation</w:t>
      </w:r>
      <w:r>
        <w:rPr>
          <w:rFonts w:ascii="Times New Roman;serif" w:hAnsi="Times New Roman;serif"/>
          <w:b w:val="false"/>
          <w:color w:val="000000"/>
          <w:sz w:val="20"/>
        </w:rPr>
        <w:t>. Whenever this Article III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156" w:name="i8eee2e3590e64ccf983d327bcabd5d62"/>
      <w:bookmarkEnd w:id="156"/>
      <w:r>
        <w:rPr>
          <w:rFonts w:ascii="Times New Roman;serif" w:hAnsi="Times New Roman;serif"/>
          <w:b/>
          <w:color w:val="000000"/>
          <w:sz w:val="20"/>
        </w:rPr>
        <w:t>ARTICLE IV</w:t>
        <w:br/>
        <w:t>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57" w:name="iddb9b015fcf34ec7aa19027b74e191c8"/>
      <w:bookmarkEnd w:id="157"/>
      <w:r>
        <w:rPr>
          <w:rFonts w:ascii="Times New Roman;serif" w:hAnsi="Times New Roman;serif"/>
          <w:b/>
          <w:color w:val="000000"/>
          <w:sz w:val="20"/>
        </w:rPr>
        <w:t>Section 17.    Number and Eligibility</w:t>
      </w:r>
      <w:r>
        <w:rPr>
          <w:rFonts w:ascii="Times New Roman;serif" w:hAnsi="Times New Roman;serif"/>
          <w:b w:val="false"/>
          <w:color w:val="000000"/>
          <w:sz w:val="20"/>
        </w:rPr>
        <w:t>. The authorized number of directors of the corporation shall be fixed in accordance with the Certificate of Incorporation. No person shall be eligible for election or appointment as a director unless such person has, within ten (10) days following any reasonable request therefor from the Board of Directors or any committee thereof, made himself or herself available to be interviewed by the Board of Directors (or any committee or other subset thereof).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120"/>
        <w:ind w:left="0" w:right="0" w:firstLine="720"/>
        <w:jc w:val="left"/>
        <w:rPr/>
      </w:pPr>
      <w:bookmarkStart w:id="158" w:name="iad353fc68b2d4af39480c02ecb9ebdf1"/>
      <w:bookmarkEnd w:id="158"/>
      <w:r>
        <w:rPr>
          <w:rFonts w:ascii="Times New Roman;serif" w:hAnsi="Times New Roman;serif"/>
          <w:b/>
          <w:color w:val="000000"/>
          <w:sz w:val="20"/>
        </w:rPr>
        <w:t>Section 18.    Powers</w:t>
      </w:r>
      <w:r>
        <w:rPr>
          <w:rFonts w:ascii="Times New Roman;serif" w:hAnsi="Times New Roman;serif"/>
          <w:b w:val="false"/>
          <w:color w:val="000000"/>
          <w:sz w:val="20"/>
        </w:rPr>
        <w:t>. The powers of the corporation shall be exercised, its business conducted and its property controlled by the Board of Directors, except as may be otherwise provided by statute or by the Certificate of Incorporation.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59" w:name="i52a42b36dfd64a5d928433bf9a5d67a3"/>
      <w:bookmarkEnd w:id="159"/>
      <w:r>
        <w:rPr>
          <w:rFonts w:ascii="Times New Roman;serif" w:hAnsi="Times New Roman;serif"/>
          <w:b/>
          <w:color w:val="000000"/>
          <w:sz w:val="20"/>
        </w:rPr>
        <w:t>Section 19.    Term of Directors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60" w:name="icba9306b68ee406c85832169bf3da026"/>
      <w:bookmarkEnd w:id="160"/>
      <w:r>
        <w:rPr>
          <w:rFonts w:ascii="Times New Roman;serif" w:hAnsi="Times New Roman;serif"/>
          <w:b w:val="false"/>
          <w:color w:val="000000"/>
          <w:sz w:val="20"/>
        </w:rPr>
        <w:t>(a)    Subject to the rights of the holders of any series of Preferred Stock to elect additional directors under specified circumstances, directors shall be elected at each annual meeting of stockholders to hold office until the next annual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61" w:name="if4de4e81585d4ababd69ea5b05914d83"/>
      <w:bookmarkEnd w:id="161"/>
      <w:r>
        <w:rPr>
          <w:rFonts w:ascii="Times New Roman;serif" w:hAnsi="Times New Roman;serif"/>
          <w:b w:val="false"/>
          <w:color w:val="000000"/>
          <w:sz w:val="20"/>
        </w:rPr>
        <w:t>(b)    No person entitled to vote at an election for directors may cumulate votes to which such person is entitled.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provisions of this section, each director shall serve until his or her successor is duly elected and qualified or until his or her death, resignation or removal. No decrease in the number of directors constituting the Board of Directors shall shorten the term of any incumbent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62" w:name="idd6f0a9ffa89401793bf618b2c27b977"/>
      <w:bookmarkEnd w:id="162"/>
      <w:r>
        <w:rPr>
          <w:rFonts w:ascii="Times New Roman;serif" w:hAnsi="Times New Roman;serif"/>
          <w:b/>
          <w:color w:val="000000"/>
          <w:sz w:val="20"/>
        </w:rPr>
        <w:t>Section 20.    Vacancies</w:t>
      </w:r>
      <w:r>
        <w:rPr>
          <w:rFonts w:ascii="Times New Roman;serif" w:hAnsi="Times New Roman;serif"/>
          <w:b w:val="false"/>
          <w:color w:val="000000"/>
          <w:sz w:val="20"/>
        </w:rPr>
        <w:t>. Unless otherwise provided in the Certificate of Incorporation,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Section 20 in the case of the death, removal or resignation of any director.</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63" w:name="i02309f9686a748478c5e301c97be9381"/>
      <w:bookmarkEnd w:id="163"/>
      <w:r>
        <w:rPr>
          <w:rFonts w:ascii="Times New Roman;serif" w:hAnsi="Times New Roman;serif"/>
          <w:b w:val="false"/>
          <w:color w:val="000000"/>
          <w:sz w:val="20"/>
        </w:rPr>
        <w:t>(a)    If at the time of filling any vacancy or any newly created directorship, the directors then in office shall constitute less than a majority of the whole Board of Directors (as constituted immediately prior to any such increase), the Delaware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Section 211 of the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64" w:name="i5c4f5facb9ed4175b30b7ba85a50ea9f"/>
      <w:bookmarkEnd w:id="164"/>
      <w:r>
        <w:rPr>
          <w:rFonts w:ascii="Times New Roman;serif" w:hAnsi="Times New Roman;serif"/>
          <w:b/>
          <w:color w:val="000000"/>
          <w:sz w:val="20"/>
        </w:rPr>
        <w:t>Section 21.    Resignation</w:t>
      </w:r>
      <w:r>
        <w:rPr>
          <w:rFonts w:ascii="Times New Roman;serif" w:hAnsi="Times New Roman;serif"/>
          <w:b w:val="false"/>
          <w:color w:val="000000"/>
          <w:sz w:val="20"/>
        </w:rPr>
        <w:t>. Any director may resign at any time by delivering his or her resignation in writing or by electronic transmission to the Secretary, such resignation to specify whether it will be effective at a particular time, upon receipt by the Secretary or at the pleasure of the Board of Directors. If no such specification is made, it shall be deemed effective at the 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65" w:name="idb4542ed67744070bd1e685abde855d6"/>
      <w:bookmarkEnd w:id="165"/>
      <w:r>
        <w:rPr>
          <w:rFonts w:ascii="Times New Roman;serif" w:hAnsi="Times New Roman;serif"/>
          <w:b/>
          <w:color w:val="000000"/>
          <w:sz w:val="20"/>
        </w:rPr>
        <w:t>Section 22.    Removal</w:t>
      </w:r>
      <w:r>
        <w:rPr>
          <w:rFonts w:ascii="Times New Roman;serif" w:hAnsi="Times New Roman;serif"/>
          <w:b w:val="false"/>
          <w:color w:val="000000"/>
          <w:sz w:val="20"/>
        </w:rPr>
        <w:t>. Any director may be removed from office as provided in Section 141(k) of the DGCL. No reduction of the authorized number of directors shall have the effect of removing any director prior to the expiration of such director’s term of office.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66" w:name="i10417859334e451c96690126192a3a1b"/>
      <w:bookmarkEnd w:id="166"/>
      <w:r>
        <w:rPr>
          <w:rFonts w:ascii="Times New Roman;serif" w:hAnsi="Times New Roman;serif"/>
          <w:b/>
          <w:color w:val="000000"/>
          <w:sz w:val="20"/>
        </w:rPr>
        <w:t>Section 23.    Meetings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pPr>
      <w:bookmarkStart w:id="167" w:name="i006bd83ef0924a1b936c7cc1cca89eb4"/>
      <w:bookmarkEnd w:id="167"/>
      <w:r>
        <w:rPr>
          <w:rFonts w:ascii="Times New Roman;serif" w:hAnsi="Times New Roman;serif"/>
          <w:b w:val="false"/>
          <w:color w:val="000000"/>
          <w:sz w:val="20"/>
        </w:rPr>
        <w:t>(a)    </w:t>
      </w:r>
      <w:r>
        <w:rPr>
          <w:rFonts w:ascii="Times New Roman;serif" w:hAnsi="Times New Roman;serif"/>
          <w:b/>
          <w:color w:val="000000"/>
          <w:sz w:val="20"/>
        </w:rPr>
        <w:t>Annual Meetings</w:t>
      </w:r>
      <w:r>
        <w:rPr>
          <w:rFonts w:ascii="Times New Roman;serif" w:hAnsi="Times New Roman;serif"/>
          <w:b w:val="false"/>
          <w:color w:val="000000"/>
          <w:sz w:val="20"/>
        </w:rPr>
        <w:t>. The annual meeting of the Board of Directors shall be held immediately before or after the annual meeting of stockholders and at the place where such meeting is held. No notice of an annual meeting of the Board of Directors shall be necessary and such meeting shall be held for the purpose of electing officers and transacting such other business as may lawfully come before it.</w:t>
      </w:r>
    </w:p>
    <w:p>
      <w:pPr>
        <w:pStyle w:val="TextBody"/>
        <w:bidi w:val="0"/>
        <w:spacing w:lineRule="auto" w:line="288" w:before="120" w:after="120"/>
        <w:ind w:left="0" w:right="0" w:firstLine="720"/>
        <w:jc w:val="left"/>
        <w:rPr/>
      </w:pPr>
      <w:bookmarkStart w:id="168" w:name="ic4337dcc5e1048189493e6c303de2a90"/>
      <w:bookmarkEnd w:id="168"/>
      <w:r>
        <w:rPr>
          <w:rFonts w:ascii="Times New Roman;serif" w:hAnsi="Times New Roman;serif"/>
          <w:b w:val="false"/>
          <w:color w:val="000000"/>
          <w:sz w:val="20"/>
        </w:rPr>
        <w:t>(b)    </w:t>
      </w:r>
      <w:r>
        <w:rPr>
          <w:rFonts w:ascii="Times New Roman;serif" w:hAnsi="Times New Roman;serif"/>
          <w:b/>
          <w:color w:val="000000"/>
          <w:sz w:val="20"/>
        </w:rPr>
        <w:t>Regular Meetings</w:t>
      </w:r>
      <w:r>
        <w:rPr>
          <w:rFonts w:ascii="Times New Roman;serif" w:hAnsi="Times New Roman;serif"/>
          <w:b w:val="false"/>
          <w:color w:val="000000"/>
          <w:sz w:val="20"/>
        </w:rPr>
        <w:t xml:space="preserve">. Unless otherwise restricted by the Certificate of Incorporation, regular meetings of the Board of Directors may be held at any time or date and at any place within or without the State of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Delaware which has been designated by the Board of Directors and publicized among all directors. No formal notice shall be required for regular meetings of the Board of Directors.</w:t>
      </w:r>
    </w:p>
    <w:p>
      <w:pPr>
        <w:pStyle w:val="TextBody"/>
        <w:bidi w:val="0"/>
        <w:spacing w:lineRule="auto" w:line="288" w:before="120" w:after="120"/>
        <w:ind w:left="0" w:right="0" w:firstLine="720"/>
        <w:jc w:val="left"/>
        <w:rPr/>
      </w:pPr>
      <w:bookmarkStart w:id="169" w:name="i6e67903be3bc48439fef8d96ddb8a5c6"/>
      <w:bookmarkEnd w:id="169"/>
      <w:r>
        <w:rPr>
          <w:rFonts w:ascii="Times New Roman;serif" w:hAnsi="Times New Roman;serif"/>
          <w:b w:val="false"/>
          <w:color w:val="000000"/>
          <w:sz w:val="20"/>
        </w:rPr>
        <w:t>(c)    </w:t>
      </w:r>
      <w:r>
        <w:rPr>
          <w:rFonts w:ascii="Times New Roman;serif" w:hAnsi="Times New Roman;serif"/>
          <w:b/>
          <w:color w:val="000000"/>
          <w:sz w:val="20"/>
        </w:rPr>
        <w:t>Special Meetings</w:t>
      </w:r>
      <w:r>
        <w:rPr>
          <w:rFonts w:ascii="Times New Roman;serif" w:hAnsi="Times New Roman;serif"/>
          <w:b w:val="false"/>
          <w:color w:val="000000"/>
          <w:sz w:val="20"/>
        </w:rPr>
        <w:t>. Unless otherwise restricted by the Certificate of Incorporation, special meetings of the Board of Directors may be held at any time and place within or without the State of Delaware whenever called by the Chair of the Board, the Chief Executive Officer, or a majority of the total number of directors constituting the Board of Directors.</w:t>
      </w:r>
    </w:p>
    <w:p>
      <w:pPr>
        <w:pStyle w:val="TextBody"/>
        <w:bidi w:val="0"/>
        <w:spacing w:lineRule="auto" w:line="288" w:before="120" w:after="120"/>
        <w:ind w:left="0" w:right="0" w:firstLine="720"/>
        <w:jc w:val="left"/>
        <w:rPr/>
      </w:pPr>
      <w:bookmarkStart w:id="170" w:name="iaae28bb5d6ef4b96879d258a07060699"/>
      <w:bookmarkEnd w:id="170"/>
      <w:r>
        <w:rPr>
          <w:rFonts w:ascii="Times New Roman;serif" w:hAnsi="Times New Roman;serif"/>
          <w:b w:val="false"/>
          <w:color w:val="000000"/>
          <w:sz w:val="20"/>
        </w:rPr>
        <w:t>(d)    </w:t>
      </w:r>
      <w:r>
        <w:rPr>
          <w:rFonts w:ascii="Times New Roman;serif" w:hAnsi="Times New Roman;serif"/>
          <w:b/>
          <w:color w:val="000000"/>
          <w:sz w:val="20"/>
        </w:rPr>
        <w:t>Telephone Meetings</w:t>
      </w:r>
      <w:r>
        <w:rPr>
          <w:rFonts w:ascii="Times New Roman;serif" w:hAnsi="Times New Roman;serif"/>
          <w:b w:val="false"/>
          <w:color w:val="000000"/>
          <w:sz w:val="20"/>
        </w:rPr>
        <w:t>. Any member of the Board of Directors, or of any committee thereof, may participate in a meeting by means of conference telephone or similar communications equipment by means of which all persons participating in the meeting can hear each other, and participation in a meeting by such means shall constitute presence in person at such meeting.</w:t>
      </w:r>
    </w:p>
    <w:p>
      <w:pPr>
        <w:pStyle w:val="TextBody"/>
        <w:bidi w:val="0"/>
        <w:spacing w:lineRule="auto" w:line="288" w:before="120" w:after="120"/>
        <w:ind w:left="0" w:right="0" w:firstLine="720"/>
        <w:jc w:val="left"/>
        <w:rPr/>
      </w:pPr>
      <w:bookmarkStart w:id="171" w:name="idc09573b41a946118f2eb62f7218f80f"/>
      <w:bookmarkEnd w:id="171"/>
      <w:r>
        <w:rPr>
          <w:rFonts w:ascii="Times New Roman;serif" w:hAnsi="Times New Roman;serif"/>
          <w:b w:val="false"/>
          <w:color w:val="000000"/>
          <w:sz w:val="20"/>
        </w:rPr>
        <w:t>(e)    </w:t>
      </w:r>
      <w:r>
        <w:rPr>
          <w:rFonts w:ascii="Times New Roman;serif" w:hAnsi="Times New Roman;serif"/>
          <w:b/>
          <w:color w:val="000000"/>
          <w:sz w:val="20"/>
        </w:rPr>
        <w:t>Notice of Meetings</w:t>
      </w:r>
      <w:r>
        <w:rPr>
          <w:rFonts w:ascii="Times New Roman;serif" w:hAnsi="Times New Roman;serif"/>
          <w:b w:val="false"/>
          <w:color w:val="000000"/>
          <w:sz w:val="20"/>
        </w:rPr>
        <w:t>.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or sent in writing to each director by first class mail, charges prepaid, at least three (3) days before the date of the meeting, or on such shorter notice as the person or persons calling such meeting may deem necessary or appropriate under the circumstances.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pStyle w:val="TextBody"/>
        <w:bidi w:val="0"/>
        <w:spacing w:lineRule="auto" w:line="288" w:before="120" w:after="120"/>
        <w:ind w:left="0" w:right="0" w:firstLine="720"/>
        <w:jc w:val="left"/>
        <w:rPr/>
      </w:pPr>
      <w:bookmarkStart w:id="172" w:name="idbd22f35143442fa9104699ea7ca26a1"/>
      <w:bookmarkEnd w:id="172"/>
      <w:r>
        <w:rPr>
          <w:rFonts w:ascii="Times New Roman;serif" w:hAnsi="Times New Roman;serif"/>
          <w:b w:val="false"/>
          <w:color w:val="000000"/>
          <w:sz w:val="20"/>
        </w:rPr>
        <w:t>(f)    </w:t>
      </w:r>
      <w:r>
        <w:rPr>
          <w:rFonts w:ascii="Times New Roman;serif" w:hAnsi="Times New Roman;serif"/>
          <w:b/>
          <w:color w:val="000000"/>
          <w:sz w:val="20"/>
        </w:rPr>
        <w:t>Waiver of Notice</w:t>
      </w:r>
      <w:r>
        <w:rPr>
          <w:rFonts w:ascii="Times New Roman;serif" w:hAnsi="Times New Roman;serif"/>
          <w:b w:val="false"/>
          <w:color w:val="000000"/>
          <w:sz w:val="20"/>
        </w:rPr>
        <w:t>. The transaction of all business at any meeting of the Board of Directors, or any committee thereof, however called or noticed, or wherever held, shall be as valid as though had at a meeting duly held after regular call and notice, if a quorum be present and if, either before or after the meeting, each of the directors not present shall sign a written waiver of notice. All such waivers shall be filed with the corporate records or made a part of the minutes of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73" w:name="i6fcf99b66b3b41f894f71d1e30bd4803"/>
      <w:bookmarkEnd w:id="173"/>
      <w:r>
        <w:rPr>
          <w:rFonts w:ascii="Times New Roman;serif" w:hAnsi="Times New Roman;serif"/>
          <w:b/>
          <w:color w:val="000000"/>
          <w:sz w:val="20"/>
        </w:rPr>
        <w:t>Section 24.    Quorum and Voting</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pPr>
      <w:bookmarkStart w:id="174" w:name="i853339c9cb4844508174e26320536d4e"/>
      <w:bookmarkEnd w:id="174"/>
      <w:r>
        <w:rPr>
          <w:rFonts w:ascii="Times New Roman;serif" w:hAnsi="Times New Roman;serif"/>
          <w:b w:val="false"/>
          <w:color w:val="000000"/>
          <w:sz w:val="20"/>
        </w:rPr>
        <w:t xml:space="preserve">(a)    Unless the Certificate of Incorporation requires a greater number and except with respect to indemnification questions arising under Section 43 hereof, for which a quorum shall be one-third of the exact number of directors fixed from time to time in accordance with the Certificate of Incorporation, a quorum of the Board of Directors shall consist of a majority of the exact number of directors fixed from time to time by the Board of Directors in accordance with the Certificate of Incorporation;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175" w:name="i7d9afbcf7267475fa230ed2861980b91"/>
      <w:bookmarkEnd w:id="175"/>
      <w:r>
        <w:rPr>
          <w:rFonts w:ascii="Times New Roman;serif" w:hAnsi="Times New Roman;serif"/>
          <w:b w:val="false"/>
          <w:color w:val="000000"/>
          <w:sz w:val="20"/>
        </w:rPr>
        <w:t>(b)    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76" w:name="i5d15603af0354447bc25e27afc8f0c4b"/>
      <w:bookmarkEnd w:id="176"/>
      <w:r>
        <w:rPr>
          <w:rFonts w:ascii="Times New Roman;serif" w:hAnsi="Times New Roman;serif"/>
          <w:b/>
          <w:color w:val="000000"/>
          <w:sz w:val="20"/>
        </w:rPr>
        <w:t>Section 25.    Action Without Meeting</w:t>
      </w:r>
      <w:r>
        <w:rPr>
          <w:rFonts w:ascii="Times New Roman;serif" w:hAnsi="Times New Roman;serif"/>
          <w:b w:val="false"/>
          <w:color w:val="000000"/>
          <w:sz w:val="20"/>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such writing or writings are filed with the minutes of proceedings of the Board of Directors or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77" w:name="i1220d492064644b19611673dc911ad5a"/>
      <w:bookmarkEnd w:id="177"/>
      <w:r>
        <w:rPr>
          <w:rFonts w:ascii="Times New Roman;serif" w:hAnsi="Times New Roman;serif"/>
          <w:b/>
          <w:color w:val="000000"/>
          <w:sz w:val="20"/>
        </w:rPr>
        <w:t>Section 26.    Fees and Compensation</w:t>
      </w:r>
      <w:r>
        <w:rPr>
          <w:rFonts w:ascii="Times New Roman;serif" w:hAnsi="Times New Roman;serif"/>
          <w:b w:val="false"/>
          <w:color w:val="000000"/>
          <w:sz w:val="20"/>
        </w:rPr>
        <w:t>.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78" w:name="i2dd0072b7b5f4e4894dae52f57a75ea2"/>
      <w:bookmarkEnd w:id="178"/>
      <w:r>
        <w:rPr>
          <w:rFonts w:ascii="Times New Roman;serif" w:hAnsi="Times New Roman;serif"/>
          <w:b/>
          <w:color w:val="000000"/>
          <w:sz w:val="20"/>
        </w:rPr>
        <w:t>Section 27.    Committees</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120"/>
        <w:ind w:left="0" w:right="0" w:firstLine="720"/>
        <w:jc w:val="left"/>
        <w:rPr/>
      </w:pPr>
      <w:bookmarkStart w:id="179" w:name="i23c4cc67a13a45c79c0c019d57049c2b"/>
      <w:bookmarkEnd w:id="179"/>
      <w:r>
        <w:rPr>
          <w:rFonts w:ascii="Times New Roman;serif" w:hAnsi="Times New Roman;serif"/>
          <w:b w:val="false"/>
          <w:color w:val="000000"/>
          <w:sz w:val="20"/>
        </w:rPr>
        <w:t>(a)    </w:t>
      </w:r>
      <w:r>
        <w:rPr>
          <w:rFonts w:ascii="Times New Roman;serif" w:hAnsi="Times New Roman;serif"/>
          <w:b/>
          <w:color w:val="000000"/>
          <w:sz w:val="20"/>
        </w:rPr>
        <w:t>Executive Committee</w:t>
      </w:r>
      <w:r>
        <w:rPr>
          <w:rFonts w:ascii="Times New Roman;serif" w:hAnsi="Times New Roman;serif"/>
          <w:b w:val="false"/>
          <w:color w:val="000000"/>
          <w:sz w:val="20"/>
        </w:rPr>
        <w:t>.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w:t>
      </w:r>
    </w:p>
    <w:p>
      <w:pPr>
        <w:pStyle w:val="TextBody"/>
        <w:bidi w:val="0"/>
        <w:spacing w:lineRule="auto" w:line="288" w:before="120" w:after="120"/>
        <w:ind w:left="0" w:right="0" w:firstLine="720"/>
        <w:jc w:val="left"/>
        <w:rPr/>
      </w:pPr>
      <w:bookmarkStart w:id="180" w:name="i11d220d0a35341b39e903b9da9b44389"/>
      <w:bookmarkEnd w:id="180"/>
      <w:r>
        <w:rPr>
          <w:rFonts w:ascii="Times New Roman;serif" w:hAnsi="Times New Roman;serif"/>
          <w:b w:val="false"/>
          <w:color w:val="000000"/>
          <w:sz w:val="20"/>
        </w:rPr>
        <w:t>(b)    </w:t>
      </w:r>
      <w:r>
        <w:rPr>
          <w:rFonts w:ascii="Times New Roman;serif" w:hAnsi="Times New Roman;serif"/>
          <w:b/>
          <w:color w:val="000000"/>
          <w:sz w:val="20"/>
        </w:rPr>
        <w:t>Other Committees</w:t>
      </w:r>
      <w:r>
        <w:rPr>
          <w:rFonts w:ascii="Times New Roman;serif" w:hAnsi="Times New Roman;serif"/>
          <w:b w:val="false"/>
          <w:color w:val="000000"/>
          <w:sz w:val="20"/>
        </w:rPr>
        <w:t>.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pStyle w:val="TextBody"/>
        <w:bidi w:val="0"/>
        <w:spacing w:lineRule="auto" w:line="288" w:before="120" w:after="120"/>
        <w:ind w:left="0" w:right="0" w:firstLine="720"/>
        <w:jc w:val="left"/>
        <w:rPr/>
      </w:pPr>
      <w:bookmarkStart w:id="181" w:name="i3cfbb767a48040daa7e3d9f3753e93c0"/>
      <w:bookmarkEnd w:id="181"/>
      <w:r>
        <w:rPr>
          <w:rFonts w:ascii="Times New Roman;serif" w:hAnsi="Times New Roman;serif"/>
          <w:b w:val="false"/>
          <w:color w:val="000000"/>
          <w:sz w:val="20"/>
        </w:rPr>
        <w:t>(c)    </w:t>
      </w:r>
      <w:r>
        <w:rPr>
          <w:rFonts w:ascii="Times New Roman;serif" w:hAnsi="Times New Roman;serif"/>
          <w:b/>
          <w:color w:val="000000"/>
          <w:sz w:val="20"/>
        </w:rPr>
        <w:t>Term</w:t>
      </w:r>
      <w:r>
        <w:rPr>
          <w:rFonts w:ascii="Times New Roman;serif" w:hAnsi="Times New Roman;serif"/>
          <w:b w:val="false"/>
          <w:color w:val="000000"/>
          <w:sz w:val="20"/>
        </w:rPr>
        <w:t>. Each member of a committee of the Board of Directors shall serve a term on the committee coexistent with such member’s term on the Board of Directors. The Board of Directors, subject to any requirements of any outstanding series of Preferred Stock and the provisions of subsections (a) or (b) of this Bylaw,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pStyle w:val="TextBody"/>
        <w:bidi w:val="0"/>
        <w:spacing w:lineRule="auto" w:line="288" w:before="120" w:after="120"/>
        <w:ind w:left="0" w:right="0" w:firstLine="720"/>
        <w:jc w:val="left"/>
        <w:rPr/>
      </w:pPr>
      <w:bookmarkStart w:id="182" w:name="i3ede5e170f8a473b88fd44d6af8a0f98"/>
      <w:bookmarkEnd w:id="182"/>
      <w:r>
        <w:rPr>
          <w:rFonts w:ascii="Times New Roman;serif" w:hAnsi="Times New Roman;serif"/>
          <w:b w:val="false"/>
          <w:color w:val="000000"/>
          <w:sz w:val="20"/>
        </w:rPr>
        <w:t>(d)    </w:t>
      </w:r>
      <w:r>
        <w:rPr>
          <w:rFonts w:ascii="Times New Roman;serif" w:hAnsi="Times New Roman;serif"/>
          <w:b/>
          <w:color w:val="000000"/>
          <w:sz w:val="20"/>
        </w:rPr>
        <w:t>Meetings</w:t>
      </w:r>
      <w:r>
        <w:rPr>
          <w:rFonts w:ascii="Times New Roman;serif" w:hAnsi="Times New Roman;serif"/>
          <w:b w:val="false"/>
          <w:color w:val="000000"/>
          <w:sz w:val="20"/>
        </w:rPr>
        <w:t>. Unless the Board of Directors shall otherwise provide, regular meetings of the Executive Committee or any other committee appointed pursuant to this Section 27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written notice to the members of such committee of the time and place of such special meeting given in the manner provided for the giving of written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A majority of the authorized number of members of any such committee shall constitute a quorum for the transaction of business, and the act of a majority of those present at any meeting at which a quorum is present shall be the act of such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83" w:name="i0a154b0fceb546e0b39709615df446a4"/>
      <w:bookmarkEnd w:id="183"/>
      <w:r>
        <w:rPr>
          <w:rFonts w:ascii="Times New Roman;serif" w:hAnsi="Times New Roman;serif"/>
          <w:b/>
          <w:color w:val="000000"/>
          <w:sz w:val="20"/>
        </w:rPr>
        <w:t>Section 28.    Organization</w:t>
      </w:r>
      <w:r>
        <w:rPr>
          <w:rFonts w:ascii="Times New Roman;serif" w:hAnsi="Times New Roman;serif"/>
          <w:b w:val="false"/>
          <w:color w:val="000000"/>
          <w:sz w:val="20"/>
        </w:rPr>
        <w:t>. At every meeting of the directors, the Chair of the Board of Directors, or, if a Chair has not been appointed or is absent, the Chief Executive Officer (if a director), or if the Chief Executive Officer is absent, the most senior Vice President (if a director), or, in the absence of any such person, a chair of the meeting chosen by a majority of the directors present, shall preside over the meeting. The Secretary, or in his or her absence, any Assistant Secretary directed to do so by the Chief Executive Officer, shall act as secretary of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184" w:name="i7dc99d967c4b4a7d858552991480d2e3"/>
      <w:bookmarkEnd w:id="184"/>
      <w:r>
        <w:rPr>
          <w:rFonts w:ascii="Times New Roman;serif" w:hAnsi="Times New Roman;serif"/>
          <w:b/>
          <w:color w:val="000000"/>
          <w:sz w:val="20"/>
        </w:rPr>
        <w:t>ARTICLE V</w:t>
        <w:br/>
        <w:t>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85" w:name="i154d7c6fe86d4c2aad0a6b1032cfdd05"/>
      <w:bookmarkEnd w:id="185"/>
      <w:r>
        <w:rPr>
          <w:rFonts w:ascii="Times New Roman;serif" w:hAnsi="Times New Roman;serif"/>
          <w:b/>
          <w:color w:val="000000"/>
          <w:sz w:val="20"/>
        </w:rPr>
        <w:t>Section 29.    Officers Designated</w:t>
      </w:r>
      <w:r>
        <w:rPr>
          <w:rFonts w:ascii="Times New Roman;serif" w:hAnsi="Times New Roman;serif"/>
          <w:b w:val="false"/>
          <w:color w:val="000000"/>
          <w:sz w:val="20"/>
        </w:rPr>
        <w:t xml:space="preserve">. The officers of the corporation shall include a Chief Executive Officer, a Chief Financial Officer, and a Secretary. The corporation may also have, at the discretion of the Board of Directors, a President, one or more Vice Presidents, a Treasurer, a Controller, and any such other officers as may be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appointed in accordance with the provisions of these Bylaws. The Board of Directors may also appoint one or more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No officer need be a stockholder or director of the corporation. The Board of Directors shall appoint the officers of the corporation, except such officers as may be appointed in accordance with the provisions of Section 34 of these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86" w:name="ie4e60a553d3f42dca480b35752388ad7"/>
      <w:bookmarkEnd w:id="186"/>
      <w:r>
        <w:rPr>
          <w:rFonts w:ascii="Times New Roman;serif" w:hAnsi="Times New Roman;serif"/>
          <w:b/>
          <w:color w:val="000000"/>
          <w:sz w:val="20"/>
        </w:rPr>
        <w:t>Section 30.    Tenure and Duties of Officers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pPr>
      <w:bookmarkStart w:id="187" w:name="i8ebe336dc0ee481d9979cc49d33e8066"/>
      <w:bookmarkEnd w:id="187"/>
      <w:r>
        <w:rPr>
          <w:rFonts w:ascii="Times New Roman;serif" w:hAnsi="Times New Roman;serif"/>
          <w:b w:val="false"/>
          <w:color w:val="000000"/>
          <w:sz w:val="20"/>
        </w:rPr>
        <w:t>(a)    </w:t>
      </w:r>
      <w:r>
        <w:rPr>
          <w:rFonts w:ascii="Times New Roman;serif" w:hAnsi="Times New Roman;serif"/>
          <w:b/>
          <w:color w:val="000000"/>
          <w:sz w:val="20"/>
        </w:rPr>
        <w:t>Tenure</w:t>
      </w:r>
      <w:r>
        <w:rPr>
          <w:rFonts w:ascii="Times New Roman;serif" w:hAnsi="Times New Roman;serif"/>
          <w:b w:val="false"/>
          <w:color w:val="000000"/>
          <w:sz w:val="20"/>
        </w:rPr>
        <w:t>.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pStyle w:val="TextBody"/>
        <w:bidi w:val="0"/>
        <w:spacing w:lineRule="auto" w:line="288" w:before="120" w:after="120"/>
        <w:ind w:left="0" w:right="0" w:firstLine="720"/>
        <w:jc w:val="left"/>
        <w:rPr/>
      </w:pPr>
      <w:bookmarkStart w:id="188" w:name="ied255f93870548ecbdb0f534f059dc71"/>
      <w:bookmarkEnd w:id="188"/>
      <w:r>
        <w:rPr>
          <w:rFonts w:ascii="Times New Roman;serif" w:hAnsi="Times New Roman;serif"/>
          <w:b w:val="false"/>
          <w:color w:val="000000"/>
          <w:sz w:val="20"/>
        </w:rPr>
        <w:t>(b)    </w:t>
      </w:r>
      <w:r>
        <w:rPr>
          <w:rFonts w:ascii="Times New Roman;serif" w:hAnsi="Times New Roman;serif"/>
          <w:b/>
          <w:color w:val="000000"/>
          <w:sz w:val="20"/>
        </w:rPr>
        <w:t>Duties</w:t>
      </w:r>
      <w:r>
        <w:rPr>
          <w:rFonts w:ascii="Times New Roman;serif" w:hAnsi="Times New Roman;serif"/>
          <w:b w:val="false"/>
          <w:color w:val="000000"/>
          <w:sz w:val="20"/>
        </w:rPr>
        <w:t>. All officers of the corporation shall respectively have such authority and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89" w:name="i0c7ac07d0eb241d6ab0a2ab0e3496489"/>
      <w:bookmarkEnd w:id="189"/>
      <w:r>
        <w:rPr>
          <w:rFonts w:ascii="Times New Roman;serif" w:hAnsi="Times New Roman;serif"/>
          <w:b/>
          <w:color w:val="000000"/>
          <w:sz w:val="20"/>
        </w:rPr>
        <w:t>Section 31.    Delegation of Authority</w:t>
      </w:r>
      <w:r>
        <w:rPr>
          <w:rFonts w:ascii="Times New Roman;serif" w:hAnsi="Times New Roman;serif"/>
          <w:b w:val="false"/>
          <w:color w:val="000000"/>
          <w:sz w:val="20"/>
        </w:rPr>
        <w:t>. The Board of Directors may from time to time delegate the powers or duties of any officer to any other officer or agent, notwithstanding any provision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0" w:name="iaf9e9cb2e17741e08a396e18f0d4e07d"/>
      <w:bookmarkEnd w:id="190"/>
      <w:r>
        <w:rPr>
          <w:rFonts w:ascii="Times New Roman;serif" w:hAnsi="Times New Roman;serif"/>
          <w:b/>
          <w:color w:val="000000"/>
          <w:sz w:val="20"/>
        </w:rPr>
        <w:t>Section 32.    Resignations</w:t>
      </w:r>
      <w:r>
        <w:rPr>
          <w:rFonts w:ascii="Times New Roman;serif" w:hAnsi="Times New Roman;serif"/>
          <w:b w:val="false"/>
          <w:color w:val="000000"/>
          <w:sz w:val="20"/>
        </w:rPr>
        <w:t>. Any officer may resign at any time by giving notice in writing or by electronic transmission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1" w:name="i96463407cae746d5a94e4875ee922eaa"/>
      <w:bookmarkEnd w:id="191"/>
      <w:r>
        <w:rPr>
          <w:rFonts w:ascii="Times New Roman;serif" w:hAnsi="Times New Roman;serif"/>
          <w:b/>
          <w:color w:val="000000"/>
          <w:sz w:val="20"/>
        </w:rPr>
        <w:t>Section 33.    Removal</w:t>
      </w:r>
      <w:r>
        <w:rPr>
          <w:rFonts w:ascii="Times New Roman;serif" w:hAnsi="Times New Roman;serif"/>
          <w:b w:val="false"/>
          <w:color w:val="000000"/>
          <w:sz w:val="20"/>
        </w:rPr>
        <w:t>. Subject to the rights, if any, of an officer under any contract of employment, any officer may be removed from office at any time, either with or without cause, by the affirmative vote of a majority of the directors in office at the time, or by the unanimous written consent of the directors in office at the time, or by any committee or superior officers upon whom such power of removal may have been conferred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2" w:name="i2245c31aef9d4f85a543be5eed9e02ec"/>
      <w:bookmarkEnd w:id="192"/>
      <w:r>
        <w:rPr>
          <w:rFonts w:ascii="Times New Roman;serif" w:hAnsi="Times New Roman;serif"/>
          <w:b/>
          <w:color w:val="000000"/>
          <w:sz w:val="20"/>
        </w:rPr>
        <w:t>Section 34.    Subordinate Officers</w:t>
      </w:r>
      <w:r>
        <w:rPr>
          <w:rFonts w:ascii="Times New Roman;serif" w:hAnsi="Times New Roman;serif"/>
          <w:b w:val="false"/>
          <w:color w:val="000000"/>
          <w:sz w:val="20"/>
        </w:rPr>
        <w:t>. The Board of Directors may appoint, or empower the Chief Executive Officer or, in the absence of a Chief Executive Officer, the President, to appoint, such other officers and agents as the business of the corporation may require. Each of these officers and agents shall hold office for such period, have such authority, and perform such duties as are provided in these Bylaws or as the Board of Directors may from time to time determine.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193" w:name="i178941198e1e423a88f5ba2db481a502"/>
      <w:bookmarkEnd w:id="193"/>
      <w:r>
        <w:rPr>
          <w:rFonts w:ascii="Times New Roman;serif" w:hAnsi="Times New Roman;serif"/>
          <w:b/>
          <w:color w:val="000000"/>
          <w:sz w:val="20"/>
        </w:rPr>
        <w:t>ARTICLE VI</w:t>
        <w:br/>
        <w:t>EXECUTION OF CORPORATE INSTRUMENTS AND VOTING OF SECURITIES OWNED BY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4" w:name="i89b42ff5ed91486a975b90cabd7c0b1f"/>
      <w:bookmarkEnd w:id="194"/>
      <w:r>
        <w:rPr>
          <w:rFonts w:ascii="Times New Roman;serif" w:hAnsi="Times New Roman;serif"/>
          <w:b/>
          <w:color w:val="000000"/>
          <w:sz w:val="20"/>
        </w:rPr>
        <w:t>Section 35.    Execution of Corporate Instruments</w:t>
      </w:r>
      <w:r>
        <w:rPr>
          <w:rFonts w:ascii="Times New Roman;serif" w:hAnsi="Times New Roman;serif"/>
          <w:b w:val="false"/>
          <w:color w:val="000000"/>
          <w:sz w:val="20"/>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5" w:name="id9485b87cbd34c92af3138eef8d5747c"/>
      <w:bookmarkEnd w:id="195"/>
      <w:r>
        <w:rPr>
          <w:rFonts w:ascii="Times New Roman;serif" w:hAnsi="Times New Roman;serif"/>
          <w:b/>
          <w:color w:val="000000"/>
          <w:sz w:val="20"/>
        </w:rPr>
        <w:t>Section 36.    Voting of Securities Owned By the Corporation</w:t>
      </w:r>
      <w:r>
        <w:rPr>
          <w:rFonts w:ascii="Times New Roman;serif" w:hAnsi="Times New Roman;serif"/>
          <w:b w:val="false"/>
          <w:color w:val="000000"/>
          <w:sz w:val="20"/>
        </w:rPr>
        <w:t>.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 of the Board of Directors, the Chief Executive Officer, the President, or any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bookmarkStart w:id="196" w:name="i24466e2e77b54e2eab51f120acc07628"/>
      <w:bookmarkEnd w:id="196"/>
      <w:r>
        <w:rPr>
          <w:rFonts w:ascii="Times New Roman;serif" w:hAnsi="Times New Roman;serif"/>
          <w:b/>
          <w:color w:val="000000"/>
          <w:sz w:val="20"/>
        </w:rPr>
        <w:t>ARTICLE VII</w:t>
        <w:br/>
        <w:t>SHARES OF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7" w:name="i539bd7662ffc4574af708122c4068eb9"/>
      <w:bookmarkEnd w:id="197"/>
      <w:r>
        <w:rPr>
          <w:rFonts w:ascii="Times New Roman;serif" w:hAnsi="Times New Roman;serif"/>
          <w:b/>
          <w:color w:val="000000"/>
          <w:sz w:val="20"/>
        </w:rPr>
        <w:t>Section 37.    Form and Execution of Certificates</w:t>
      </w:r>
      <w:r>
        <w:rPr>
          <w:rFonts w:ascii="Times New Roman;serif" w:hAnsi="Times New Roman;serif"/>
          <w:b w:val="false"/>
          <w:color w:val="000000"/>
          <w:sz w:val="20"/>
        </w:rPr>
        <w:t xml:space="preserve">. The shares of the corporation shall be represented by certificates; </w:t>
      </w:r>
      <w:r>
        <w:rPr>
          <w:rFonts w:ascii="Times New Roman;serif" w:hAnsi="Times New Roman;serif"/>
          <w:b w:val="false"/>
          <w:i/>
          <w:color w:val="000000"/>
          <w:sz w:val="20"/>
        </w:rPr>
        <w:t>provided</w:t>
      </w:r>
      <w:r>
        <w:rPr>
          <w:rFonts w:ascii="Times New Roman;serif" w:hAnsi="Times New Roman;serif"/>
          <w:b w:val="false"/>
          <w:color w:val="000000"/>
          <w:sz w:val="20"/>
        </w:rPr>
        <w:t>, that the Board of Directors may provide by resolution or resolutions that some or all of any or all classes or series of the corporation’s stock shall be represented by uncertificated shares. Any such resolution shall not apply to shares represented by a certificate until such certificate is surrendered to the corporation.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Certificates for the shares of stock, if any, of the corporation shall be in such form as is consistent with the Certificate of Incorporation and applicable law. Every holder of stock in the corporation represented by certificates shall be entitled to have a certificate signed by or in the name of the corporation by, any two officers authorized to sign stock certificates representing the number of shares registered in certificate form. The Chair of the Board of Directors, the President or any Vice President and the Treasurer or Assistant Treasurer or the Secretary or Assistant Secretary of the corporation shall be specifically authorized to sign stock certificates.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Each certificate shall state upon the face or back thereof, in full or in summary, all of the powers, designations, preferences, and rights, and the limitations or restrictions of the shares authorized to be issued or shall, except as otherwise required by law, set forth on the face or back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or otherwise required by law or with respect to this section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certificates representing stock of the same class and series shall be identical.</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8" w:name="if02deeacaaf8465486bb1d4d596458a9"/>
      <w:bookmarkEnd w:id="198"/>
      <w:r>
        <w:rPr>
          <w:rFonts w:ascii="Times New Roman;serif" w:hAnsi="Times New Roman;serif"/>
          <w:b/>
          <w:color w:val="000000"/>
          <w:sz w:val="20"/>
        </w:rPr>
        <w:t>Section 38.    Lost Certificates</w:t>
      </w:r>
      <w:r>
        <w:rPr>
          <w:rFonts w:ascii="Times New Roman;serif" w:hAnsi="Times New Roman;serif"/>
          <w:b w:val="false"/>
          <w:color w:val="000000"/>
          <w:sz w:val="20"/>
        </w:rPr>
        <w:t>. A new certificate or certificates or uncertificated shares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uncertificated shares, the owner of such lost, stolen, or destroyed certificate or certificates, or his or her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199" w:name="id5ad9563c4ff4a74b2a7b8c459896ddf"/>
      <w:bookmarkEnd w:id="199"/>
      <w:r>
        <w:rPr>
          <w:rFonts w:ascii="Times New Roman;serif" w:hAnsi="Times New Roman;serif"/>
          <w:b/>
          <w:color w:val="000000"/>
          <w:sz w:val="20"/>
        </w:rPr>
        <w:t>Section 39.    Transfers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200" w:name="ifca53bfc9a384813930676f821f0fc49"/>
      <w:bookmarkEnd w:id="200"/>
      <w:r>
        <w:rPr>
          <w:rFonts w:ascii="Times New Roman;serif" w:hAnsi="Times New Roman;serif"/>
          <w:b w:val="false"/>
          <w:color w:val="000000"/>
          <w:sz w:val="20"/>
        </w:rPr>
        <w:t>(a)    Stock of the corporation shall be transferable in the manner prescribed by law and in these Bylaws. Shares of stock of the corporation shall only be transferred on the books of the corporation by the holder of record thereof or by such holder’s attorney duly authorized in writing, and upon the surrender to the corporation of a properly endorsed certificate or certificates representing such shares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against the corporation for any purpose until it shall have been entered in the stock records of the corporation by an entry showing the names of the persons from and to whom it was transferred.</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201" w:name="ifaf89cf66d2549d18ecababcdb3067ea"/>
      <w:bookmarkEnd w:id="201"/>
      <w:r>
        <w:rPr>
          <w:rFonts w:ascii="Times New Roman;serif" w:hAnsi="Times New Roman;serif"/>
          <w:b w:val="false"/>
          <w:color w:val="000000"/>
          <w:sz w:val="20"/>
        </w:rPr>
        <w:t>(b)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02" w:name="i9a9e4f2a1573410c894084b3447cd5cb"/>
      <w:bookmarkEnd w:id="202"/>
      <w:r>
        <w:rPr>
          <w:rFonts w:ascii="Times New Roman;serif" w:hAnsi="Times New Roman;serif"/>
          <w:b/>
          <w:color w:val="000000"/>
          <w:sz w:val="20"/>
        </w:rPr>
        <w:t>Section 40.    Fixing Record Dates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pPr>
      <w:bookmarkStart w:id="203" w:name="i76dadb551b9c41599ad4a6b6c0a30672"/>
      <w:bookmarkEnd w:id="203"/>
      <w:r>
        <w:rPr>
          <w:rFonts w:ascii="Times New Roman;serif" w:hAnsi="Times New Roman;serif"/>
          <w:b w:val="false"/>
          <w:color w:val="000000"/>
          <w:sz w:val="20"/>
        </w:rPr>
        <w:t xml:space="preserve">(a)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204" w:name="i969dc65ffa324d2a830227dacc338df6"/>
      <w:bookmarkEnd w:id="204"/>
      <w:r>
        <w:rPr>
          <w:rFonts w:ascii="Times New Roman;serif" w:hAnsi="Times New Roman;serif"/>
          <w:b w:val="false"/>
          <w:color w:val="000000"/>
          <w:sz w:val="20"/>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05" w:name="idb565eb10dc04b2fb602c3aac832a731"/>
      <w:bookmarkEnd w:id="205"/>
      <w:r>
        <w:rPr>
          <w:rFonts w:ascii="Times New Roman;serif" w:hAnsi="Times New Roman;serif"/>
          <w:b/>
          <w:color w:val="000000"/>
          <w:sz w:val="20"/>
        </w:rPr>
        <w:t>Section 41.    Registered Stockholders</w:t>
      </w:r>
      <w:r>
        <w:rPr>
          <w:rFonts w:ascii="Times New Roman;serif" w:hAnsi="Times New Roman;serif"/>
          <w:b w:val="false"/>
          <w:color w:val="000000"/>
          <w:sz w:val="20"/>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206" w:name="i8a011b064b9541a7ab7a2c87fe3e0a80"/>
      <w:bookmarkEnd w:id="206"/>
      <w:r>
        <w:rPr>
          <w:rFonts w:ascii="Times New Roman;serif" w:hAnsi="Times New Roman;serif"/>
          <w:b/>
          <w:color w:val="000000"/>
          <w:sz w:val="20"/>
        </w:rPr>
        <w:t>ARTICLE VIII</w:t>
        <w:br/>
        <w:t>OTHER SECURITIES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07" w:name="i363afec254da41198437cfdbb8e878af"/>
      <w:bookmarkEnd w:id="207"/>
      <w:r>
        <w:rPr>
          <w:rFonts w:ascii="Times New Roman;serif" w:hAnsi="Times New Roman;serif"/>
          <w:b/>
          <w:color w:val="000000"/>
          <w:sz w:val="20"/>
        </w:rPr>
        <w:t>Section 42.    Execution of Other Securities</w:t>
      </w:r>
      <w:r>
        <w:rPr>
          <w:rFonts w:ascii="Times New Roman;serif" w:hAnsi="Times New Roman;serif"/>
          <w:b w:val="false"/>
          <w:color w:val="000000"/>
          <w:sz w:val="20"/>
        </w:rPr>
        <w:t xml:space="preserve">. All bonds, debentures and other corporate securities of the corporation, other than stock certificates (covered in Section 37), may be signed by the Chair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bookmarkStart w:id="208" w:name="i390dfdf353e24a4ba936f59ecbee30e2"/>
      <w:bookmarkEnd w:id="208"/>
      <w:r>
        <w:rPr>
          <w:rFonts w:ascii="Times New Roman;serif" w:hAnsi="Times New Roman;serif"/>
          <w:b/>
          <w:color w:val="000000"/>
          <w:sz w:val="20"/>
        </w:rPr>
        <w:t>ARTICLE IX</w:t>
        <w:br/>
        <w:t>INDEMNIFICATION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09" w:name="ibe22407da3ef476da6756176e4cfc317"/>
      <w:bookmarkEnd w:id="209"/>
      <w:r>
        <w:rPr>
          <w:rFonts w:ascii="Times New Roman;serif" w:hAnsi="Times New Roman;serif"/>
          <w:b/>
          <w:color w:val="000000"/>
          <w:sz w:val="20"/>
        </w:rPr>
        <w:t>Section 43.    Indemnification of Directors, Executive Officers, Other Officers, Employees and Other Agents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pPr>
      <w:bookmarkStart w:id="210" w:name="i91dd036c76744888932f2c227429e9de"/>
      <w:bookmarkEnd w:id="210"/>
      <w:r>
        <w:rPr>
          <w:rFonts w:ascii="Times New Roman;serif" w:hAnsi="Times New Roman;serif"/>
          <w:b w:val="false"/>
          <w:color w:val="000000"/>
          <w:sz w:val="20"/>
        </w:rPr>
        <w:t>(a)    </w:t>
      </w:r>
      <w:r>
        <w:rPr>
          <w:rFonts w:ascii="Times New Roman;serif" w:hAnsi="Times New Roman;serif"/>
          <w:b/>
          <w:color w:val="000000"/>
          <w:sz w:val="20"/>
        </w:rPr>
        <w:t>Directors and Executive Officers</w:t>
      </w:r>
      <w:r>
        <w:rPr>
          <w:rFonts w:ascii="Times New Roman;serif" w:hAnsi="Times New Roman;serif"/>
          <w:b w:val="false"/>
          <w:color w:val="000000"/>
          <w:sz w:val="20"/>
        </w:rPr>
        <w:t xml:space="preserve">. The corporation shall indemnify its directors and executive officers (for the purposes of this Article IX, “executive officers” shall have the meaning defined in Rule 3b-7 promulgated under the Exchange Act) to the fullest extent not prohibited by the DGCL or any other applicable law;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corporation may modify the extent of such indemnification by individual contracts with its directors and executive officers; and,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rFonts w:ascii="Times New Roman;serif" w:hAnsi="Times New Roman;serif"/>
          <w:b w:val="false"/>
          <w:color w:val="000000"/>
          <w:sz w:val="20"/>
        </w:rPr>
        <w:t>,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pStyle w:val="TextBody"/>
        <w:bidi w:val="0"/>
        <w:spacing w:lineRule="auto" w:line="288" w:before="120" w:after="120"/>
        <w:ind w:left="0" w:right="0" w:firstLine="720"/>
        <w:jc w:val="left"/>
        <w:rPr/>
      </w:pPr>
      <w:bookmarkStart w:id="211" w:name="i9f22223b73074b72a022c89784e615ac"/>
      <w:bookmarkEnd w:id="211"/>
      <w:r>
        <w:rPr>
          <w:rFonts w:ascii="Times New Roman;serif" w:hAnsi="Times New Roman;serif"/>
          <w:b w:val="false"/>
          <w:color w:val="000000"/>
          <w:sz w:val="20"/>
        </w:rPr>
        <w:t>(b)    </w:t>
      </w:r>
      <w:r>
        <w:rPr>
          <w:rFonts w:ascii="Times New Roman;serif" w:hAnsi="Times New Roman;serif"/>
          <w:b/>
          <w:color w:val="000000"/>
          <w:sz w:val="20"/>
        </w:rPr>
        <w:t>Other Officers, Employees and Other Agents</w:t>
      </w:r>
      <w:r>
        <w:rPr>
          <w:rFonts w:ascii="Times New Roman;serif" w:hAnsi="Times New Roman;serif"/>
          <w:b w:val="false"/>
          <w:color w:val="000000"/>
          <w:sz w:val="20"/>
        </w:rPr>
        <w:t>. The corporation shall have power to indemnify its other 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w:t>
      </w:r>
    </w:p>
    <w:p>
      <w:pPr>
        <w:pStyle w:val="TextBody"/>
        <w:bidi w:val="0"/>
        <w:spacing w:lineRule="auto" w:line="288" w:before="120" w:after="120"/>
        <w:ind w:left="0" w:right="0" w:firstLine="720"/>
        <w:jc w:val="left"/>
        <w:rPr/>
      </w:pPr>
      <w:bookmarkStart w:id="212" w:name="i4c06e6e6c50a4ee18dc9bc6716a5153b"/>
      <w:bookmarkEnd w:id="212"/>
      <w:r>
        <w:rPr>
          <w:rFonts w:ascii="Times New Roman;serif" w:hAnsi="Times New Roman;serif"/>
          <w:b w:val="false"/>
          <w:color w:val="000000"/>
          <w:sz w:val="20"/>
        </w:rPr>
        <w:t>(c)    </w:t>
      </w:r>
      <w:r>
        <w:rPr>
          <w:rFonts w:ascii="Times New Roman;serif" w:hAnsi="Times New Roman;serif"/>
          <w:b/>
          <w:color w:val="000000"/>
          <w:sz w:val="20"/>
        </w:rPr>
        <w:t>Expenses</w:t>
      </w:r>
      <w:r>
        <w:rPr>
          <w:rFonts w:ascii="Times New Roman;serif" w:hAnsi="Times New Roman;serif"/>
          <w:b w:val="false"/>
          <w:color w:val="000000"/>
          <w:sz w:val="20"/>
        </w:rPr>
        <w:t>.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upon receipt of an undertaking by or on behalf of such person to repay said amounts if it should be determined ultimately that such person is not entitled to be indemnified under this Article IX or otherwise.</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213" w:name="i4da470ddb0d84d809040e17db4718e08"/>
      <w:bookmarkEnd w:id="213"/>
      <w:r>
        <w:rPr>
          <w:rFonts w:ascii="Times New Roman;serif" w:hAnsi="Times New Roman;serif"/>
          <w:b w:val="false"/>
          <w:color w:val="000000"/>
          <w:sz w:val="20"/>
        </w:rPr>
        <w:t>Notwithstanding the foregoing, unless otherwise determined pursuant to paragraph (e) of this Article IX,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the Board of Directors by a majority vote of a quorum consisting of directors who were not parties to the proceeding, or (ii)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lineRule="auto" w:line="288" w:before="120" w:after="120"/>
        <w:ind w:left="0" w:right="0" w:firstLine="720"/>
        <w:jc w:val="left"/>
        <w:rPr/>
      </w:pPr>
      <w:bookmarkStart w:id="214" w:name="i3efee50e0eea4e7198f5e43568084bbe"/>
      <w:bookmarkEnd w:id="214"/>
      <w:r>
        <w:rPr>
          <w:rFonts w:ascii="Times New Roman;serif" w:hAnsi="Times New Roman;serif"/>
          <w:b w:val="false"/>
          <w:color w:val="000000"/>
          <w:sz w:val="20"/>
        </w:rPr>
        <w:t>(d)    </w:t>
      </w:r>
      <w:r>
        <w:rPr>
          <w:rFonts w:ascii="Times New Roman;serif" w:hAnsi="Times New Roman;serif"/>
          <w:b/>
          <w:color w:val="000000"/>
          <w:sz w:val="20"/>
        </w:rPr>
        <w:t>Enforcement</w:t>
      </w:r>
      <w:r>
        <w:rPr>
          <w:rFonts w:ascii="Times New Roman;serif" w:hAnsi="Times New Roman;serif"/>
          <w:b w:val="false"/>
          <w:color w:val="000000"/>
          <w:sz w:val="20"/>
        </w:rPr>
        <w:t xml:space="preserve">.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Article IX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his or her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that there is clear and convincing evidence that such person acted in bad faith or in a manner that such person did not believe to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pStyle w:val="TextBody"/>
        <w:bidi w:val="0"/>
        <w:spacing w:lineRule="auto" w:line="288" w:before="120" w:after="120"/>
        <w:ind w:left="0" w:right="0" w:firstLine="720"/>
        <w:jc w:val="left"/>
        <w:rPr/>
      </w:pPr>
      <w:bookmarkStart w:id="215" w:name="i1e34e469f3884bc894ae4a621fa3e5fe"/>
      <w:bookmarkEnd w:id="215"/>
      <w:r>
        <w:rPr>
          <w:rFonts w:ascii="Times New Roman;serif" w:hAnsi="Times New Roman;serif"/>
          <w:b w:val="false"/>
          <w:color w:val="000000"/>
          <w:sz w:val="20"/>
        </w:rPr>
        <w:t>(e)    </w:t>
      </w:r>
      <w:r>
        <w:rPr>
          <w:rFonts w:ascii="Times New Roman;serif" w:hAnsi="Times New Roman;serif"/>
          <w:b/>
          <w:color w:val="000000"/>
          <w:sz w:val="20"/>
        </w:rPr>
        <w:t>Non-Exclusivity of Rights</w:t>
      </w:r>
      <w:r>
        <w:rPr>
          <w:rFonts w:ascii="Times New Roman;serif" w:hAnsi="Times New Roman;serif"/>
          <w:b w:val="false"/>
          <w:color w:val="000000"/>
          <w:sz w:val="20"/>
        </w:rPr>
        <w:t>.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Delaware General Corporation Law, or by any other applicable law.</w:t>
      </w:r>
    </w:p>
    <w:p>
      <w:pPr>
        <w:pStyle w:val="TextBody"/>
        <w:bidi w:val="0"/>
        <w:spacing w:lineRule="auto" w:line="288" w:before="120" w:after="120"/>
        <w:ind w:left="0" w:right="0" w:firstLine="720"/>
        <w:jc w:val="left"/>
        <w:rPr/>
      </w:pPr>
      <w:bookmarkStart w:id="216" w:name="i51cc84856f1147c78e7b68e745188443"/>
      <w:bookmarkEnd w:id="216"/>
      <w:r>
        <w:rPr>
          <w:rFonts w:ascii="Times New Roman;serif" w:hAnsi="Times New Roman;serif"/>
          <w:b w:val="false"/>
          <w:color w:val="000000"/>
          <w:sz w:val="20"/>
        </w:rPr>
        <w:t>(f)    </w:t>
      </w:r>
      <w:r>
        <w:rPr>
          <w:rFonts w:ascii="Times New Roman;serif" w:hAnsi="Times New Roman;serif"/>
          <w:b/>
          <w:color w:val="000000"/>
          <w:sz w:val="20"/>
        </w:rPr>
        <w:t>Survival of Rights</w:t>
      </w:r>
      <w:r>
        <w:rPr>
          <w:rFonts w:ascii="Times New Roman;serif" w:hAnsi="Times New Roman;serif"/>
          <w:b w:val="false"/>
          <w:color w:val="000000"/>
          <w:sz w:val="20"/>
        </w:rPr>
        <w:t>. The rights conferred on any person by this Bylaw shall continue as to a person who has ceased to be a director, officer, employee or other agent and shall inure to the benefit of the heirs, executors and administrators of such a person.</w:t>
      </w:r>
    </w:p>
    <w:p>
      <w:pPr>
        <w:pStyle w:val="TextBody"/>
        <w:bidi w:val="0"/>
        <w:spacing w:lineRule="auto" w:line="288" w:before="120" w:after="120"/>
        <w:ind w:left="0" w:right="0" w:firstLine="720"/>
        <w:jc w:val="left"/>
        <w:rPr/>
      </w:pPr>
      <w:bookmarkStart w:id="217" w:name="i659c9527a2a04170b0b8e0255ce7fa1c"/>
      <w:bookmarkEnd w:id="217"/>
      <w:r>
        <w:rPr>
          <w:rFonts w:ascii="Times New Roman;serif" w:hAnsi="Times New Roman;serif"/>
          <w:b w:val="false"/>
          <w:color w:val="000000"/>
          <w:sz w:val="20"/>
        </w:rPr>
        <w:t>(g)    </w:t>
      </w:r>
      <w:r>
        <w:rPr>
          <w:rFonts w:ascii="Times New Roman;serif" w:hAnsi="Times New Roman;serif"/>
          <w:b/>
          <w:color w:val="000000"/>
          <w:sz w:val="20"/>
        </w:rPr>
        <w:t>Insurance</w:t>
      </w:r>
      <w:r>
        <w:rPr>
          <w:rFonts w:ascii="Times New Roman;serif" w:hAnsi="Times New Roman;serif"/>
          <w:b w:val="false"/>
          <w:color w:val="000000"/>
          <w:sz w:val="20"/>
        </w:rPr>
        <w:t>. To the fullest extent permitted by the DGCL or any other applicable law, the corporation, upon approval by the Board of Directors, may purchase insurance on behalf of any person required or permitted to be indemnified pursuant to this Article IX.</w:t>
      </w:r>
    </w:p>
    <w:p>
      <w:pPr>
        <w:pStyle w:val="TextBody"/>
        <w:bidi w:val="0"/>
        <w:spacing w:lineRule="auto" w:line="288" w:before="120" w:after="120"/>
        <w:ind w:left="0" w:right="0" w:firstLine="720"/>
        <w:jc w:val="left"/>
        <w:rPr/>
      </w:pPr>
      <w:bookmarkStart w:id="218" w:name="ibd7f670028aa4c6d95b6722645e7e4f2"/>
      <w:bookmarkEnd w:id="218"/>
      <w:r>
        <w:rPr>
          <w:rFonts w:ascii="Times New Roman;serif" w:hAnsi="Times New Roman;serif"/>
          <w:b w:val="false"/>
          <w:color w:val="000000"/>
          <w:sz w:val="20"/>
        </w:rPr>
        <w:t>(h)    </w:t>
      </w:r>
      <w:r>
        <w:rPr>
          <w:rFonts w:ascii="Times New Roman;serif" w:hAnsi="Times New Roman;serif"/>
          <w:b/>
          <w:color w:val="000000"/>
          <w:sz w:val="20"/>
        </w:rPr>
        <w:t>Amendments</w:t>
      </w:r>
      <w:r>
        <w:rPr>
          <w:rFonts w:ascii="Times New Roman;serif" w:hAnsi="Times New Roman;serif"/>
          <w:b w:val="false"/>
          <w:color w:val="000000"/>
          <w:sz w:val="20"/>
        </w:rPr>
        <w:t>. Any repeal or modification of this Article IX shall only be prospective and shall not affect the rights under this Bylaw in effect at the time of the alleged occurrence of any action or omission to act that is the cause of any proceeding against any agent of the corporation.</w:t>
      </w:r>
    </w:p>
    <w:p>
      <w:pPr>
        <w:pStyle w:val="TextBody"/>
        <w:bidi w:val="0"/>
        <w:spacing w:lineRule="auto" w:line="288" w:before="120" w:after="120"/>
        <w:ind w:left="0" w:right="0" w:firstLine="720"/>
        <w:jc w:val="left"/>
        <w:rPr/>
      </w:pPr>
      <w:bookmarkStart w:id="219" w:name="i9e8c189378f848f9addaabbb17f60c41"/>
      <w:bookmarkEnd w:id="219"/>
      <w:r>
        <w:rPr>
          <w:rFonts w:ascii="Times New Roman;serif" w:hAnsi="Times New Roman;serif"/>
          <w:b w:val="false"/>
          <w:color w:val="000000"/>
          <w:sz w:val="20"/>
        </w:rPr>
        <w:t>(i)    </w:t>
      </w:r>
      <w:r>
        <w:rPr>
          <w:rFonts w:ascii="Times New Roman;serif" w:hAnsi="Times New Roman;serif"/>
          <w:b/>
          <w:color w:val="000000"/>
          <w:sz w:val="20"/>
        </w:rPr>
        <w:t>Saving Clause</w:t>
      </w:r>
      <w:r>
        <w:rPr>
          <w:rFonts w:ascii="Times New Roman;serif" w:hAnsi="Times New Roman;serif"/>
          <w:b w:val="false"/>
          <w:color w:val="000000"/>
          <w:sz w:val="20"/>
        </w:rPr>
        <w:t>. If this Bylaw or any portion hereof shall be invalidated on any ground by any court of competent jurisdiction, then the corporation shall nevertheless indemnify each director and executive officer to the full extent not prohibited by any applicable portion of this Article IX that shall not have been invalidated, or by any other applicable law. If this Article IX shall be invalid due to the application of the indemnification provisions of another jurisdiction, then the corporation shall indemnify each director and executive officer to the full extent under any other applicable law.</w:t>
      </w:r>
    </w:p>
    <w:p>
      <w:pPr>
        <w:pStyle w:val="TextBody"/>
        <w:bidi w:val="0"/>
        <w:spacing w:lineRule="auto" w:line="288" w:before="120" w:after="120"/>
        <w:ind w:left="0" w:right="0" w:firstLine="720"/>
        <w:jc w:val="left"/>
        <w:rPr/>
      </w:pPr>
      <w:bookmarkStart w:id="220" w:name="i84c365231cd44d5b8d6a8f6453cb79af"/>
      <w:bookmarkEnd w:id="220"/>
      <w:r>
        <w:rPr>
          <w:rFonts w:ascii="Times New Roman;serif" w:hAnsi="Times New Roman;serif"/>
          <w:b w:val="false"/>
          <w:color w:val="000000"/>
          <w:sz w:val="20"/>
        </w:rPr>
        <w:t>(j)    </w:t>
      </w:r>
      <w:r>
        <w:rPr>
          <w:rFonts w:ascii="Times New Roman;serif" w:hAnsi="Times New Roman;serif"/>
          <w:b/>
          <w:color w:val="000000"/>
          <w:sz w:val="20"/>
        </w:rPr>
        <w:t>Certain Definitions</w:t>
      </w:r>
      <w:r>
        <w:rPr>
          <w:rFonts w:ascii="Times New Roman;serif" w:hAnsi="Times New Roman;serif"/>
          <w:b w:val="false"/>
          <w:color w:val="000000"/>
          <w:sz w:val="20"/>
        </w:rPr>
        <w:t>. For the purposes of this Bylaw, the following definitions shall apply:</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221" w:name="i079a61c7f8754f98af3afc5f89c6feef"/>
      <w:bookmarkEnd w:id="221"/>
      <w:r>
        <w:rPr>
          <w:rFonts w:ascii="Times New Roman;serif" w:hAnsi="Times New Roman;serif"/>
          <w:b w:val="false"/>
          <w:color w:val="000000"/>
          <w:sz w:val="20"/>
        </w:rPr>
        <w:t>(1)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222" w:name="ic458e0eef101493e9caaa04a5e94d3d6"/>
      <w:bookmarkEnd w:id="222"/>
      <w:r>
        <w:rPr>
          <w:rFonts w:ascii="Times New Roman;serif" w:hAnsi="Times New Roman;serif"/>
          <w:b w:val="false"/>
          <w:color w:val="000000"/>
          <w:sz w:val="20"/>
        </w:rPr>
        <w:t>(2)    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223" w:name="i699f1952cbab442d9da5da6936b6f5bd"/>
      <w:bookmarkEnd w:id="223"/>
      <w:r>
        <w:rPr>
          <w:rFonts w:ascii="Times New Roman;serif" w:hAnsi="Times New Roman;serif"/>
          <w:b w:val="false"/>
          <w:color w:val="000000"/>
          <w:sz w:val="20"/>
        </w:rPr>
        <w:t>(3)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IX with respect to the resulting or surviving corporation as he would have with respect to such constituent corporation if its separate existence had continued.</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224" w:name="ica9fde61668c4e25825abd33c9a36dd8"/>
      <w:bookmarkEnd w:id="224"/>
      <w:r>
        <w:rPr>
          <w:rFonts w:ascii="Times New Roman;serif" w:hAnsi="Times New Roman;serif"/>
          <w:b w:val="false"/>
          <w:color w:val="000000"/>
          <w:sz w:val="20"/>
        </w:rPr>
        <w:t xml:space="preserve">(4)    References to a “director,” “executive officer,” “officer,” “employee,” or “agent” of the corporation shall include, without limitation, situations where such person is serving at the request of the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respectively, a director, executive officer, officer, employee, trustee or agent of another corporation, partnership, joint venture, trust or other enterprise.</w:t>
      </w:r>
    </w:p>
    <w:p>
      <w:pPr>
        <w:pStyle w:val="TextBody"/>
        <w:bidi w:val="0"/>
        <w:spacing w:lineRule="auto" w:line="288" w:before="120" w:after="120"/>
        <w:ind w:left="0" w:right="0" w:firstLine="1440"/>
        <w:jc w:val="left"/>
        <w:rPr>
          <w:rFonts w:ascii="Times New Roman;serif" w:hAnsi="Times New Roman;serif"/>
          <w:b w:val="false"/>
          <w:color w:val="000000"/>
          <w:sz w:val="20"/>
        </w:rPr>
      </w:pPr>
      <w:bookmarkStart w:id="225" w:name="i3b003e9329c34dc38d7da3853c985fe5"/>
      <w:bookmarkEnd w:id="225"/>
      <w:r>
        <w:rPr>
          <w:rFonts w:ascii="Times New Roman;serif" w:hAnsi="Times New Roman;serif"/>
          <w:b w:val="false"/>
          <w:color w:val="000000"/>
          <w:sz w:val="20"/>
        </w:rPr>
        <w:t xml:space="preserve">(5)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IX.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226" w:name="i25eb1304b0fb46739e685e6bc80c8fe5"/>
      <w:bookmarkEnd w:id="226"/>
      <w:r>
        <w:rPr>
          <w:rFonts w:ascii="Times New Roman;serif" w:hAnsi="Times New Roman;serif"/>
          <w:b/>
          <w:color w:val="000000"/>
          <w:sz w:val="20"/>
        </w:rPr>
        <w:t>ARTICLE X</w:t>
        <w:br/>
        <w:t>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27" w:name="ie2cea3fd48f04ed084aaf4685db457be"/>
      <w:bookmarkEnd w:id="227"/>
      <w:r>
        <w:rPr>
          <w:rFonts w:ascii="Times New Roman;serif" w:hAnsi="Times New Roman;serif"/>
          <w:b/>
          <w:color w:val="000000"/>
          <w:sz w:val="20"/>
        </w:rPr>
        <w:t>Section 44.    Fiscal Year</w:t>
      </w:r>
      <w:r>
        <w:rPr>
          <w:rFonts w:ascii="Times New Roman;serif" w:hAnsi="Times New Roman;serif"/>
          <w:b w:val="false"/>
          <w:color w:val="000000"/>
          <w:sz w:val="20"/>
        </w:rPr>
        <w:t>. The fiscal year of the corporation shall be fixed by resolution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228" w:name="ic6b49fdb625048c98b9854f9e0491cec"/>
      <w:bookmarkEnd w:id="228"/>
      <w:r>
        <w:rPr>
          <w:rFonts w:ascii="Times New Roman;serif" w:hAnsi="Times New Roman;serif"/>
          <w:b/>
          <w:color w:val="000000"/>
          <w:sz w:val="20"/>
        </w:rPr>
        <w:t>ARTICLE XI</w:t>
        <w:br/>
        <w:t>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29" w:name="i87c2971721bb4bac9aecfab1f0f8af5b"/>
      <w:bookmarkEnd w:id="229"/>
      <w:r>
        <w:rPr>
          <w:rFonts w:ascii="Times New Roman;serif" w:hAnsi="Times New Roman;serif"/>
          <w:b/>
          <w:color w:val="000000"/>
          <w:sz w:val="20"/>
        </w:rPr>
        <w:t>Section 45.    Declaration of Dividends</w:t>
      </w:r>
      <w:r>
        <w:rPr>
          <w:rFonts w:ascii="Times New Roman;serif" w:hAnsi="Times New Roman;serif"/>
          <w:b w:val="false"/>
          <w:color w:val="000000"/>
          <w:sz w:val="20"/>
        </w:rPr>
        <w:t>.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30" w:name="i18945fa4b295428d884c93a17bb0e0fd"/>
      <w:bookmarkEnd w:id="230"/>
      <w:r>
        <w:rPr>
          <w:rFonts w:ascii="Times New Roman;serif" w:hAnsi="Times New Roman;serif"/>
          <w:b/>
          <w:color w:val="000000"/>
          <w:sz w:val="20"/>
        </w:rPr>
        <w:t>Section 46.    Dividend Reserve</w:t>
      </w:r>
      <w:r>
        <w:rPr>
          <w:rFonts w:ascii="Times New Roman;serif" w:hAnsi="Times New Roman;serif"/>
          <w:b w:val="false"/>
          <w:color w:val="000000"/>
          <w:sz w:val="20"/>
        </w:rPr>
        <w:t>.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231" w:name="icf98ad0d180f4c219ec1080383d3969f"/>
      <w:bookmarkEnd w:id="231"/>
      <w:r>
        <w:rPr>
          <w:rFonts w:ascii="Times New Roman;serif" w:hAnsi="Times New Roman;serif"/>
          <w:b/>
          <w:color w:val="000000"/>
          <w:sz w:val="20"/>
        </w:rPr>
        <w:t>ARTICLE XII</w:t>
        <w:br/>
        <w:t>NOTICES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32" w:name="i20901146ae144893aa3baf3568ec9c04"/>
      <w:bookmarkEnd w:id="232"/>
      <w:r>
        <w:rPr>
          <w:rFonts w:ascii="Times New Roman;serif" w:hAnsi="Times New Roman;serif"/>
          <w:b/>
          <w:color w:val="000000"/>
          <w:sz w:val="20"/>
        </w:rPr>
        <w:t>Section 47.    Notices</w:t>
      </w:r>
      <w:r>
        <w:rPr>
          <w:rFonts w:ascii="Times New Roman;serif" w:hAnsi="Times New Roman;serif"/>
          <w:b w:val="false"/>
          <w:color w:val="000000"/>
          <w:sz w:val="20"/>
        </w:rPr>
        <w:t>.</w:t>
      </w:r>
    </w:p>
    <w:p>
      <w:pPr>
        <w:pStyle w:val="TextBody"/>
        <w:bidi w:val="0"/>
        <w:spacing w:lineRule="auto" w:line="288" w:before="120" w:after="120"/>
        <w:ind w:left="0" w:right="0" w:firstLine="720"/>
        <w:jc w:val="left"/>
        <w:rPr/>
      </w:pPr>
      <w:bookmarkStart w:id="233" w:name="i7d64e39850134832bf8a5d5b64917f93"/>
      <w:bookmarkEnd w:id="233"/>
      <w:r>
        <w:rPr>
          <w:rFonts w:ascii="Times New Roman;serif" w:hAnsi="Times New Roman;serif"/>
          <w:b w:val="false"/>
          <w:color w:val="000000"/>
          <w:sz w:val="20"/>
        </w:rPr>
        <w:t>(a)    </w:t>
      </w:r>
      <w:r>
        <w:rPr>
          <w:rFonts w:ascii="Times New Roman;serif" w:hAnsi="Times New Roman;serif"/>
          <w:b/>
          <w:color w:val="000000"/>
          <w:sz w:val="20"/>
        </w:rPr>
        <w:t>Notice To Stockholders</w:t>
      </w:r>
      <w:r>
        <w:rPr>
          <w:rFonts w:ascii="Times New Roman;serif" w:hAnsi="Times New Roman;serif"/>
          <w:b w:val="false"/>
          <w:color w:val="000000"/>
          <w:sz w:val="20"/>
        </w:rPr>
        <w:t>. Whenever, under any provisions of these Bylaws, notice is required to be given to any stockholder, it shall be given: (i) if mailed, when deposited in the United States mail, postage prepaid, directed to the stockholder at his or her address as it appears on the corporation’s records; or (ii) if electronically transmitted as provided in Section 48 of these Bylaws. 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pStyle w:val="TextBody"/>
        <w:bidi w:val="0"/>
        <w:spacing w:lineRule="auto" w:line="288" w:before="120" w:after="120"/>
        <w:ind w:left="0" w:right="0" w:firstLine="720"/>
        <w:jc w:val="left"/>
        <w:rPr/>
      </w:pPr>
      <w:bookmarkStart w:id="234" w:name="i098fd4908ed74b63bd04f19264157cc6"/>
      <w:bookmarkEnd w:id="234"/>
      <w:r>
        <w:rPr>
          <w:rFonts w:ascii="Times New Roman;serif" w:hAnsi="Times New Roman;serif"/>
          <w:b w:val="false"/>
          <w:color w:val="000000"/>
          <w:sz w:val="20"/>
        </w:rPr>
        <w:t>(b)    </w:t>
      </w:r>
      <w:r>
        <w:rPr>
          <w:rFonts w:ascii="Times New Roman;serif" w:hAnsi="Times New Roman;serif"/>
          <w:b/>
          <w:color w:val="000000"/>
          <w:sz w:val="20"/>
        </w:rPr>
        <w:t>Notice To Directors</w:t>
      </w:r>
      <w:r>
        <w:rPr>
          <w:rFonts w:ascii="Times New Roman;serif" w:hAnsi="Times New Roman;serif"/>
          <w:b w:val="false"/>
          <w:color w:val="000000"/>
          <w:sz w:val="20"/>
        </w:rPr>
        <w:t>. Any notice required to be given to any director may be: (i) delivered personally by hand, by courier or by telephone; (ii) sent by United States first-class mail, postage prepaid; (iii) sent by facsimile; or (iv) sent by electronic mail, directed to each director at that director’s address, telephone number, facsimile number or electronic mail address, as the case may be, as shown on the corporation’s records.</w:t>
      </w:r>
    </w:p>
    <w:p>
      <w:pPr>
        <w:pStyle w:val="TextBody"/>
        <w:bidi w:val="0"/>
        <w:spacing w:lineRule="auto" w:line="288" w:before="120" w:after="120"/>
        <w:ind w:left="0" w:right="0" w:firstLine="720"/>
        <w:jc w:val="left"/>
        <w:rPr/>
      </w:pPr>
      <w:bookmarkStart w:id="235" w:name="if1843711a78f4299b3ca5e9db01951cb"/>
      <w:bookmarkEnd w:id="235"/>
      <w:r>
        <w:rPr>
          <w:rFonts w:ascii="Times New Roman;serif" w:hAnsi="Times New Roman;serif"/>
          <w:b w:val="false"/>
          <w:color w:val="000000"/>
          <w:sz w:val="20"/>
        </w:rPr>
        <w:t>(c)    </w:t>
      </w:r>
      <w:r>
        <w:rPr>
          <w:rFonts w:ascii="Times New Roman;serif" w:hAnsi="Times New Roman;serif"/>
          <w:b/>
          <w:color w:val="000000"/>
          <w:sz w:val="20"/>
        </w:rPr>
        <w:t>Affidavit of Mailing</w:t>
      </w:r>
      <w:r>
        <w:rPr>
          <w:rFonts w:ascii="Times New Roman;serif" w:hAnsi="Times New Roman;serif"/>
          <w:b w:val="false"/>
          <w:color w:val="000000"/>
          <w:sz w:val="20"/>
        </w:rPr>
        <w:t>. An affidavit of mailing, executed by a duly authorized and competent employee of the corporation or its transfer agent appointed with respect to the class of stock affected,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bidi w:val="0"/>
        <w:spacing w:lineRule="auto" w:line="288" w:before="120" w:after="120"/>
        <w:ind w:left="0" w:right="0" w:firstLine="720"/>
        <w:jc w:val="left"/>
        <w:rPr/>
      </w:pPr>
      <w:bookmarkStart w:id="236" w:name="i8444b8f8bd514815900e5e793a2d3387"/>
      <w:bookmarkEnd w:id="236"/>
      <w:r>
        <w:rPr>
          <w:rFonts w:ascii="Times New Roman;serif" w:hAnsi="Times New Roman;serif"/>
          <w:b w:val="false"/>
          <w:color w:val="000000"/>
          <w:sz w:val="20"/>
        </w:rPr>
        <w:t>(d)    </w:t>
      </w:r>
      <w:r>
        <w:rPr>
          <w:rFonts w:ascii="Times New Roman;serif" w:hAnsi="Times New Roman;serif"/>
          <w:b/>
          <w:color w:val="000000"/>
          <w:sz w:val="20"/>
        </w:rPr>
        <w:t>Time Notices Deemed Given</w:t>
      </w:r>
      <w:r>
        <w:rPr>
          <w:rFonts w:ascii="Times New Roman;serif" w:hAnsi="Times New Roman;serif"/>
          <w:b w:val="false"/>
          <w:color w:val="000000"/>
          <w:sz w:val="20"/>
        </w:rPr>
        <w:t xml:space="preserve">. All notices given by mail or by overnight delivery service, as above provided, shall be deemed to have been given as at the time of mailing, and all notices given by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transmission, facsimile, telex or telegram shall be deemed to have been given as of the sending time recorded at time of transmission.</w:t>
      </w:r>
    </w:p>
    <w:p>
      <w:pPr>
        <w:pStyle w:val="TextBody"/>
        <w:bidi w:val="0"/>
        <w:spacing w:lineRule="auto" w:line="288" w:before="120" w:after="120"/>
        <w:ind w:left="0" w:right="0" w:firstLine="720"/>
        <w:jc w:val="left"/>
        <w:rPr/>
      </w:pPr>
      <w:bookmarkStart w:id="237" w:name="i2297f4b49c344b4d97cf64b0ca1bc5e5"/>
      <w:bookmarkEnd w:id="237"/>
      <w:r>
        <w:rPr>
          <w:rFonts w:ascii="Times New Roman;serif" w:hAnsi="Times New Roman;serif"/>
          <w:b w:val="false"/>
          <w:color w:val="000000"/>
          <w:sz w:val="20"/>
        </w:rPr>
        <w:t>(e)    </w:t>
      </w:r>
      <w:r>
        <w:rPr>
          <w:rFonts w:ascii="Times New Roman;serif" w:hAnsi="Times New Roman;serif"/>
          <w:b/>
          <w:color w:val="000000"/>
          <w:sz w:val="20"/>
        </w:rPr>
        <w:t>Methods of Notice</w:t>
      </w:r>
      <w:r>
        <w:rPr>
          <w:rFonts w:ascii="Times New Roman;serif" w:hAnsi="Times New Roman;serif"/>
          <w:b w:val="false"/>
          <w:color w:val="000000"/>
          <w:sz w:val="20"/>
        </w:rPr>
        <w:t>. It shall not be necessary that the same method of giving notice be employed in respect of all directors, but one permissible method may be employed in respect of any one or more, and any other permissible method or methods may be employed in respect of any other or others.</w:t>
      </w:r>
    </w:p>
    <w:p>
      <w:pPr>
        <w:pStyle w:val="TextBody"/>
        <w:bidi w:val="0"/>
        <w:spacing w:lineRule="auto" w:line="288" w:before="120" w:after="120"/>
        <w:ind w:left="0" w:right="0" w:firstLine="720"/>
        <w:jc w:val="left"/>
        <w:rPr/>
      </w:pPr>
      <w:bookmarkStart w:id="238" w:name="i4118be97f3dd4a9faa11d2e4e2500707"/>
      <w:bookmarkEnd w:id="238"/>
      <w:r>
        <w:rPr>
          <w:rFonts w:ascii="Times New Roman;serif" w:hAnsi="Times New Roman;serif"/>
          <w:b w:val="false"/>
          <w:color w:val="000000"/>
          <w:sz w:val="20"/>
        </w:rPr>
        <w:t>(f)    </w:t>
      </w:r>
      <w:r>
        <w:rPr>
          <w:rFonts w:ascii="Times New Roman;serif" w:hAnsi="Times New Roman;serif"/>
          <w:b/>
          <w:color w:val="000000"/>
          <w:sz w:val="20"/>
        </w:rPr>
        <w:t>Failure To Receive Notice</w:t>
      </w:r>
      <w:r>
        <w:rPr>
          <w:rFonts w:ascii="Times New Roman;serif" w:hAnsi="Times New Roman;serif"/>
          <w:b w:val="false"/>
          <w:color w:val="000000"/>
          <w:sz w:val="20"/>
        </w:rPr>
        <w:t>. The period or limitation of time within which any stockholder may exercise any option or right, or enjoy any privilege or benefit, or be required to act, or within which any director may exercise any power or right, or enjoy any privilege, pursuant to any notice sent him in the manner above provided, shall not be affected or extended in any manner by the failure of such stockholder or such director to receive such notice.</w:t>
      </w:r>
    </w:p>
    <w:p>
      <w:pPr>
        <w:pStyle w:val="TextBody"/>
        <w:bidi w:val="0"/>
        <w:spacing w:lineRule="auto" w:line="288" w:before="120" w:after="120"/>
        <w:ind w:left="0" w:right="0" w:firstLine="720"/>
        <w:jc w:val="left"/>
        <w:rPr/>
      </w:pPr>
      <w:bookmarkStart w:id="239" w:name="i2628f309cce54d1db96ebb2c381a232c"/>
      <w:bookmarkEnd w:id="239"/>
      <w:r>
        <w:rPr>
          <w:rFonts w:ascii="Times New Roman;serif" w:hAnsi="Times New Roman;serif"/>
          <w:b w:val="false"/>
          <w:color w:val="000000"/>
          <w:sz w:val="20"/>
        </w:rPr>
        <w:t>(g)    </w:t>
      </w:r>
      <w:r>
        <w:rPr>
          <w:rFonts w:ascii="Times New Roman;serif" w:hAnsi="Times New Roman;serif"/>
          <w:b/>
          <w:color w:val="000000"/>
          <w:sz w:val="20"/>
        </w:rPr>
        <w:t>Notice To Person With Whom Communication Is Unlawful</w:t>
      </w:r>
      <w:r>
        <w:rPr>
          <w:rFonts w:ascii="Times New Roman;serif" w:hAnsi="Times New Roman;serif"/>
          <w:b w:val="false"/>
          <w:color w:val="000000"/>
          <w:sz w:val="20"/>
        </w:rPr>
        <w:t>.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pStyle w:val="TextBody"/>
        <w:bidi w:val="0"/>
        <w:spacing w:lineRule="auto" w:line="288" w:before="120" w:after="120"/>
        <w:ind w:left="0" w:right="0" w:firstLine="720"/>
        <w:jc w:val="left"/>
        <w:rPr/>
      </w:pPr>
      <w:bookmarkStart w:id="240" w:name="i9cdbb7729a4f42edb129b2b0d8b81872"/>
      <w:bookmarkEnd w:id="240"/>
      <w:r>
        <w:rPr>
          <w:rFonts w:ascii="Times New Roman;serif" w:hAnsi="Times New Roman;serif"/>
          <w:b w:val="false"/>
          <w:color w:val="000000"/>
          <w:sz w:val="20"/>
        </w:rPr>
        <w:t>(h)    </w:t>
      </w:r>
      <w:r>
        <w:rPr>
          <w:rFonts w:ascii="Times New Roman;serif" w:hAnsi="Times New Roman;serif"/>
          <w:b/>
          <w:color w:val="000000"/>
          <w:sz w:val="20"/>
        </w:rPr>
        <w:t>Notice To Person With Undeliverable Address</w:t>
      </w:r>
      <w:r>
        <w:rPr>
          <w:rFonts w:ascii="Times New Roman;serif" w:hAnsi="Times New Roman;serif"/>
          <w:b w:val="false"/>
          <w:color w:val="000000"/>
          <w:sz w:val="20"/>
        </w:rPr>
        <w:t>. Whenever notice is required to be given, under any provision of law or the Certificate of Incorporation or Bylaws of the corporation,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twelve-month period, have been mailed addressed to such person at his or her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his or her then current address, the requirement that notice be given to such person shall be reinstated. In the event that the action taken by the corporation is such as to require the filing of a certificate under any provision of the DGCL, the certificate need not state that notice was not given to persons to whom notice was not required to be given pursuant to this paragraph.</w:t>
      </w:r>
    </w:p>
    <w:p>
      <w:pPr>
        <w:pStyle w:val="TextBody"/>
        <w:bidi w:val="0"/>
        <w:spacing w:lineRule="auto" w:line="288" w:before="120" w:after="120"/>
        <w:ind w:left="0" w:right="0" w:firstLine="720"/>
        <w:jc w:val="left"/>
        <w:rPr/>
      </w:pPr>
      <w:bookmarkStart w:id="241" w:name="i4ed1d80c879e498fb3d07897de84fa69"/>
      <w:bookmarkEnd w:id="241"/>
      <w:r>
        <w:rPr>
          <w:rFonts w:ascii="Times New Roman;serif" w:hAnsi="Times New Roman;serif"/>
          <w:b w:val="false"/>
          <w:color w:val="000000"/>
          <w:sz w:val="20"/>
        </w:rPr>
        <w:t>(i)    </w:t>
      </w:r>
      <w:r>
        <w:rPr>
          <w:rFonts w:ascii="Times New Roman;serif" w:hAnsi="Times New Roman;serif"/>
          <w:b/>
          <w:color w:val="000000"/>
          <w:sz w:val="20"/>
        </w:rPr>
        <w:t>Waiver of Notice</w:t>
      </w:r>
      <w:r>
        <w:rPr>
          <w:rFonts w:ascii="Times New Roman;serif" w:hAnsi="Times New Roman;serif"/>
          <w:b w:val="false"/>
          <w:color w:val="000000"/>
          <w:sz w:val="20"/>
        </w:rPr>
        <w:t>. Unless otherwise stated herein, whenever notice is required to be given under any provision of the DGCL, the Certificate of Incorporation or these Bylaws, a written waiver of notice,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convened or called. Neither the business to be transacted at, nor the purpose of, any annual, regular or special meeting of the stockholders, directors or members of a committee of directors need be specified in any written waiver of notice or any waiver by electronic transmission unless so required by the Certificate of Incorporation or these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42" w:name="i6be5da599ec94224a177b462c0a8339e"/>
      <w:bookmarkEnd w:id="242"/>
      <w:r>
        <w:rPr>
          <w:rFonts w:ascii="Times New Roman;serif" w:hAnsi="Times New Roman;serif"/>
          <w:b/>
          <w:color w:val="000000"/>
          <w:sz w:val="20"/>
        </w:rPr>
        <w:t>Section 48.    Notice By Electronic Transmission</w:t>
      </w:r>
      <w:r>
        <w:rPr>
          <w:rFonts w:ascii="Times New Roman;serif" w:hAnsi="Times New Roman;serif"/>
          <w:b w:val="false"/>
          <w:color w:val="000000"/>
          <w:sz w:val="20"/>
        </w:rPr>
        <w:t>.</w:t>
      </w:r>
    </w:p>
    <w:p>
      <w:pPr>
        <w:pStyle w:val="TextBody"/>
        <w:bidi w:val="0"/>
        <w:spacing w:lineRule="auto" w:line="288" w:before="120" w:after="120"/>
        <w:jc w:val="left"/>
        <w:rPr>
          <w:color w:val="000000"/>
        </w:rPr>
      </w:pPr>
      <w:r>
        <w:rPr>
          <w:color w:val="000000"/>
        </w:rPr>
        <w:t>    </w:t>
      </w:r>
      <w:r>
        <w:rPr>
          <w:rFonts w:ascii="Times New Roman;serif" w:hAnsi="Times New Roman;serif"/>
          <w:b w:val="false"/>
          <w:color w:val="000000"/>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corporation in writing or by electronic transmission of an objection to receiving notice by electronic mail. A notice by electronic mail must include a prominent legend that the communication is an important notice regarding the corporation.</w:t>
      </w:r>
    </w:p>
    <w:p>
      <w:pPr>
        <w:pStyle w:val="TextBody"/>
        <w:bidi w:val="0"/>
        <w:spacing w:before="120" w:after="12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notice given pursuant to the preceding paragraph shall be deemed given:</w:t>
      </w:r>
    </w:p>
    <w:p>
      <w:pPr>
        <w:pStyle w:val="TextBody"/>
        <w:bidi w:val="0"/>
        <w:spacing w:lineRule="auto" w:line="288" w:before="12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    if by facsimile telecommunication, when directed to a number at which the stockholder has consented to receive notice;</w:t>
      </w:r>
    </w:p>
    <w:p>
      <w:pPr>
        <w:pStyle w:val="TextBody"/>
        <w:bidi w:val="0"/>
        <w:spacing w:lineRule="auto" w:line="288" w:before="12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    if by a posting on an electronic network together with separate notice to the stockholder of such specific posting, upon the later of (A) such posting and (B) the giving of such separate notice; and </w:t>
      </w:r>
    </w:p>
    <w:p>
      <w:pPr>
        <w:pStyle w:val="TextBody"/>
        <w:bidi w:val="0"/>
        <w:spacing w:lineRule="auto" w:line="288" w:before="12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(iii)    if by any other form of electronic transmission, when directed to the stockholder. </w:t>
      </w:r>
    </w:p>
    <w:p>
      <w:pPr>
        <w:pStyle w:val="TextBody"/>
        <w:bidi w:val="0"/>
        <w:spacing w:lineRule="auto" w:line="288" w:before="120" w:after="120"/>
        <w:ind w:left="0" w:right="0" w:firstLine="720"/>
        <w:jc w:val="left"/>
        <w:rPr/>
      </w:pPr>
      <w:bookmarkStart w:id="243" w:name="i05a9bf84b94a4f909f8991e8a3a9e961"/>
      <w:bookmarkEnd w:id="243"/>
      <w:r>
        <w:rPr>
          <w:rFonts w:ascii="Times New Roman;serif" w:hAnsi="Times New Roman;serif"/>
          <w:b w:val="false"/>
          <w:color w:val="000000"/>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w:t>
      </w:r>
      <w:r>
        <w:rPr>
          <w:rFonts w:ascii="Times New Roman;serif" w:hAnsi="Times New Roman;serif"/>
          <w:b w:val="false"/>
          <w:i/>
          <w:color w:val="000000"/>
          <w:sz w:val="20"/>
        </w:rPr>
        <w:t>provided</w:t>
      </w:r>
      <w:r>
        <w:rPr>
          <w:rFonts w:ascii="Times New Roman;serif" w:hAnsi="Times New Roman;serif"/>
          <w:b w:val="false"/>
          <w:color w:val="000000"/>
          <w:sz w:val="20"/>
        </w:rPr>
        <w:t>, that the inadvertent failure to discover such inability shall not invalidate any meeting or other action.</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244" w:name="ia98373032e1f4f598cec830d00fed31d"/>
      <w:bookmarkEnd w:id="244"/>
      <w:r>
        <w:rPr>
          <w:rFonts w:ascii="Times New Roman;serif" w:hAnsi="Times New Roman;serif"/>
          <w:b w:val="false"/>
          <w:color w:val="000000"/>
          <w:sz w:val="20"/>
        </w:rPr>
        <w:t>An affidavit of the Secretary or an Assistant Secretary or of the transfer agent or other agent of the corporation that the notice has been given shall, in the absence of fraud, be prima facie evidence of the facts stated therein.</w:t>
      </w:r>
    </w:p>
    <w:p>
      <w:pPr>
        <w:pStyle w:val="TextBody"/>
        <w:bidi w:val="0"/>
        <w:spacing w:lineRule="auto" w:line="288" w:before="120" w:after="120"/>
        <w:ind w:left="0" w:right="0" w:firstLine="720"/>
        <w:jc w:val="left"/>
        <w:rPr>
          <w:rFonts w:ascii="Times New Roman;serif" w:hAnsi="Times New Roman;serif"/>
          <w:b w:val="false"/>
          <w:color w:val="000000"/>
          <w:sz w:val="20"/>
        </w:rPr>
      </w:pPr>
      <w:bookmarkStart w:id="245" w:name="ife8209ba608340ec9fb5320881f45cc4"/>
      <w:bookmarkEnd w:id="245"/>
      <w:r>
        <w:rPr>
          <w:rFonts w:ascii="Times New Roman;serif" w:hAnsi="Times New Roman;serif"/>
          <w:b w:val="false"/>
          <w:color w:val="000000"/>
          <w:sz w:val="20"/>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246" w:name="i6e1c84d1ee454100894526aa0027b1a3"/>
      <w:bookmarkEnd w:id="246"/>
      <w:r>
        <w:rPr>
          <w:rFonts w:ascii="Times New Roman;serif" w:hAnsi="Times New Roman;serif"/>
          <w:b/>
          <w:color w:val="000000"/>
          <w:sz w:val="20"/>
        </w:rPr>
        <w:t>ARTICLE XIII</w:t>
        <w:br/>
        <w:t>AMENDMENTS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left"/>
        <w:rPr/>
      </w:pPr>
      <w:bookmarkStart w:id="247" w:name="ibd669f609a9b47089ccf391e1b64e4a1"/>
      <w:bookmarkEnd w:id="247"/>
      <w:r>
        <w:rPr>
          <w:rFonts w:ascii="Times New Roman;serif" w:hAnsi="Times New Roman;serif"/>
          <w:b/>
          <w:color w:val="000000"/>
          <w:sz w:val="20"/>
        </w:rPr>
        <w:t>Section 49.    Amendments</w:t>
      </w:r>
      <w:r>
        <w:rPr>
          <w:rFonts w:ascii="Times New Roman;serif" w:hAnsi="Times New Roman;serif"/>
          <w:b w:val="false"/>
          <w:color w:val="000000"/>
          <w:sz w:val="20"/>
        </w:rPr>
        <w:t>. Subject to paragraph (h) of Article IX of these Bylaws, these Bylaws may be altered or amended or new Bylaws adopted by the affirmative vote of the majority of shares present in person or represented by proxy at a meeting of stockholders and entitled to vote thereon. The Board of Directors shall also have the power to adopt, amend, or repeal these Bylaws.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erif" w:hAnsi="Times New Roman;serif"/>
          <w:b/>
          <w:color w:val="000000"/>
          <w:sz w:val="20"/>
        </w:rPr>
      </w:pPr>
      <w:bookmarkStart w:id="248" w:name="i68f4cca99f534065b31e9e1a5c659334"/>
      <w:bookmarkEnd w:id="248"/>
      <w:r>
        <w:rPr>
          <w:rFonts w:ascii="Times New Roman;serif" w:hAnsi="Times New Roman;serif"/>
          <w:b/>
          <w:color w:val="000000"/>
          <w:sz w:val="20"/>
        </w:rPr>
        <w:t>ARTICLE XIV</w:t>
        <w:br/>
        <w:t>FORUM SELECTION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corporation consents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DGCL or the Certificate of Incorporation or these Bylaws (as either may be amended from time to time) or (iv) any action, suit or proceeding asserting a claim against the corporation governed by the internal affairs doctrine. If any action the subject matter of which is within the scope of the preceding sentence is filed in a court other than a court located within the State of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Delaware (a “Foreign Action”) in the name of any stockholder, such stockholder shall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Article XIV.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XIV shall not apply to suits brought to enforce any liability or duty created by the Exchange Act, or any other claim for which the federal courts of the United States have exclusive jurisdiction.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provision or provisions of this Article XIV shall be held to be invalid, illegal or unenforceable as applied to any circumstance for any reason whatsoever, (a) the validity, legality and enforceability of such provisions in any other circumstance and of the remaining provisions of this Article XIV (including, without limitation, each portion of any paragraph of this Article XIV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27808</Words>
  <Characters>142283</Characters>
  <CharactersWithSpaces>170428</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