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36"/>
        </w:rPr>
        <w:t>FORM 10-K</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ANNUAL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000-30713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drawing>
          <wp:inline distT="0" distB="0" distL="0" distR="0">
            <wp:extent cx="1876425" cy="695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695325"/>
                    </a:xfrm>
                    <a:prstGeom prst="rect">
                      <a:avLst/>
                    </a:prstGeom>
                  </pic:spPr>
                </pic:pic>
              </a:graphicData>
            </a:graphic>
          </wp:inline>
        </w:drawing>
      </w:r>
      <w:bookmarkStart w:id="0" w:name="i-1"/>
      <w:bookmarkEnd w:id="0"/>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Intuitive Surgical,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8096" w:type="dxa"/>
        <w:jc w:val="center"/>
        <w:tblInd w:w="0" w:type="dxa"/>
        <w:tblLayout w:type="fixed"/>
        <w:tblCellMar>
          <w:top w:w="28" w:type="dxa"/>
          <w:left w:w="28" w:type="dxa"/>
          <w:bottom w:w="28" w:type="dxa"/>
          <w:right w:w="28" w:type="dxa"/>
        </w:tblCellMar>
      </w:tblPr>
      <w:tblGrid>
        <w:gridCol w:w="1699"/>
        <w:gridCol w:w="1489"/>
        <w:gridCol w:w="1506"/>
        <w:gridCol w:w="109"/>
        <w:gridCol w:w="109"/>
        <w:gridCol w:w="109"/>
        <w:gridCol w:w="898"/>
        <w:gridCol w:w="898"/>
        <w:gridCol w:w="1279"/>
      </w:tblGrid>
      <w:tr>
        <w:trPr/>
        <w:tc>
          <w:tcPr>
            <w:tcW w:w="169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77-0416458</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1020 Kifer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Sunnyvale, California 94086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(408) 523-2100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88" w:type="dxa"/>
        <w:jc w:val="left"/>
        <w:tblInd w:w="0" w:type="dxa"/>
        <w:tblLayout w:type="fixed"/>
        <w:tblCellMar>
          <w:top w:w="28" w:type="dxa"/>
          <w:left w:w="28" w:type="dxa"/>
          <w:bottom w:w="28" w:type="dxa"/>
          <w:right w:w="28" w:type="dxa"/>
        </w:tblCellMar>
      </w:tblPr>
      <w:tblGrid>
        <w:gridCol w:w="1181"/>
        <w:gridCol w:w="1038"/>
        <w:gridCol w:w="1050"/>
        <w:gridCol w:w="564"/>
        <w:gridCol w:w="564"/>
        <w:gridCol w:w="566"/>
        <w:gridCol w:w="1118"/>
        <w:gridCol w:w="1118"/>
        <w:gridCol w:w="1589"/>
      </w:tblGrid>
      <w:tr>
        <w:trPr/>
        <w:tc>
          <w:tcPr>
            <w:tcW w:w="1181"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ISRG</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    No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60" w:after="283"/>
        <w:ind w:left="0" w:right="0" w:firstLine="360"/>
        <w:jc w:val="left"/>
        <w:rPr/>
      </w:pPr>
      <w:r>
        <w:rPr/>
      </w:r>
    </w:p>
    <w:p>
      <w:pPr>
        <w:pStyle w:val="TextBody"/>
        <w:bidi w:val="0"/>
        <w:spacing w:before="60" w:after="283"/>
        <w:ind w:left="0" w:right="0" w:firstLine="360"/>
        <w:jc w:val="left"/>
        <w:rPr/>
      </w:pPr>
      <w:r>
        <w:rPr/>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market value of the voting and non-voting common equity held by non-affiliates on June 30, 2025, based upon the closing price of Common Stock on such date as reported on The Nasdaq Global Select Market, was approximately $193.9 billion. Shares of voting stock held by each officer and director have been excluded in that such persons may be deemed to be affiliates. This assumption regarding affiliate status is not necessarily a conclusive determination for other purposes.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number of outstanding shares of the registrant’s common stock as of January 28, 2026, was 355,130,237.</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6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Part III incorporates information by reference to the definitive proxy statement for the Company’s Annual Meeting of Stockholders to be held on or about April 30, 2026, to be filed within 120 days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31"/>
        <w:gridCol w:w="290"/>
        <w:gridCol w:w="295"/>
        <w:gridCol w:w="2812"/>
        <w:gridCol w:w="2782"/>
        <w:gridCol w:w="2793"/>
        <w:gridCol w:w="264"/>
        <w:gridCol w:w="264"/>
        <w:gridCol w:w="374"/>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782"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16">
              <w:r>
                <w:rPr>
                  <w:rStyle w:val="InternetLink"/>
                  <w:rFonts w:ascii="Times New Roman;serif" w:hAnsi="Times New Roman;serif"/>
                  <w:b/>
                  <w:color w:val="0000FF"/>
                  <w:sz w:val="20"/>
                  <w:u w:val="single"/>
                </w:rPr>
                <w:t>PART I</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19">
              <w:r>
                <w:rPr>
                  <w:rStyle w:val="InternetLink"/>
                  <w:rFonts w:ascii="Times New Roman;serif" w:hAnsi="Times New Roman;serif"/>
                  <w:b w:val="false"/>
                  <w:color w:val="0000FF"/>
                  <w:sz w:val="20"/>
                  <w:u w:val="single"/>
                </w:rPr>
                <w:t>Item 1.</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19">
              <w:r>
                <w:rPr>
                  <w:rStyle w:val="InternetLink"/>
                  <w:rFonts w:ascii="Times New Roman;serif" w:hAnsi="Times New Roman;serif"/>
                  <w:b w:val="false"/>
                  <w:color w:val="0000FF"/>
                  <w:sz w:val="20"/>
                  <w:u w:val="single"/>
                </w:rPr>
                <w:t>Business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19">
              <w:r>
                <w:rPr>
                  <w:rStyle w:val="InternetLink"/>
                  <w:rFonts w:ascii="Times New Roman;serif" w:hAnsi="Times New Roman;serif"/>
                  <w:b w:val="false"/>
                  <w:color w:val="0000FF"/>
                  <w:sz w:val="20"/>
                  <w:u w:val="single"/>
                </w:rPr>
                <w:t>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67">
              <w:r>
                <w:rPr>
                  <w:rStyle w:val="InternetLink"/>
                  <w:rFonts w:ascii="Times New Roman;serif" w:hAnsi="Times New Roman;serif"/>
                  <w:b w:val="false"/>
                  <w:color w:val="0000FF"/>
                  <w:sz w:val="20"/>
                  <w:u w:val="single"/>
                </w:rPr>
                <w:t>Item 1A.</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67">
              <w:r>
                <w:rPr>
                  <w:rStyle w:val="InternetLink"/>
                  <w:rFonts w:ascii="Times New Roman;serif" w:hAnsi="Times New Roman;serif"/>
                  <w:b w:val="false"/>
                  <w:color w:val="0000FF"/>
                  <w:sz w:val="20"/>
                  <w:u w:val="single"/>
                </w:rPr>
                <w:t>Risk Factors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67">
              <w:r>
                <w:rPr>
                  <w:rStyle w:val="InternetLink"/>
                  <w:rFonts w:ascii="Times New Roman;serif" w:hAnsi="Times New Roman;serif"/>
                  <w:b w:val="false"/>
                  <w:color w:val="0000FF"/>
                  <w:sz w:val="20"/>
                  <w:u w:val="single"/>
                </w:rPr>
                <w:t>27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82">
              <w:r>
                <w:rPr>
                  <w:rStyle w:val="InternetLink"/>
                  <w:rFonts w:ascii="Times New Roman;serif" w:hAnsi="Times New Roman;serif"/>
                  <w:b w:val="false"/>
                  <w:color w:val="0000FF"/>
                  <w:sz w:val="20"/>
                  <w:u w:val="single"/>
                </w:rPr>
                <w:t>Item 1B.</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82">
              <w:r>
                <w:rPr>
                  <w:rStyle w:val="InternetLink"/>
                  <w:rFonts w:ascii="Times New Roman;serif" w:hAnsi="Times New Roman;serif"/>
                  <w:b w:val="false"/>
                  <w:color w:val="0000FF"/>
                  <w:sz w:val="20"/>
                  <w:u w:val="single"/>
                </w:rPr>
                <w:t>Unresolved Staff Comments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82">
              <w:r>
                <w:rPr>
                  <w:rStyle w:val="InternetLink"/>
                  <w:rFonts w:ascii="Times New Roman;serif" w:hAnsi="Times New Roman;serif"/>
                  <w:b w:val="false"/>
                  <w:color w:val="0000FF"/>
                  <w:sz w:val="20"/>
                  <w:u w:val="single"/>
                </w:rPr>
                <w:t>58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85">
              <w:r>
                <w:rPr>
                  <w:rStyle w:val="InternetLink"/>
                  <w:rFonts w:ascii="Times New Roman;serif" w:hAnsi="Times New Roman;serif"/>
                  <w:b w:val="false"/>
                  <w:color w:val="0000FF"/>
                  <w:sz w:val="20"/>
                  <w:u w:val="single"/>
                </w:rPr>
                <w:t>Item 1C.</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85">
              <w:r>
                <w:rPr>
                  <w:rStyle w:val="InternetLink"/>
                  <w:rFonts w:ascii="Times New Roman;serif" w:hAnsi="Times New Roman;serif"/>
                  <w:b w:val="false"/>
                  <w:color w:val="0000FF"/>
                  <w:sz w:val="20"/>
                  <w:u w:val="single"/>
                </w:rPr>
                <w:t>Cybersecurity</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85">
              <w:r>
                <w:rPr>
                  <w:rStyle w:val="InternetLink"/>
                  <w:rFonts w:ascii="Times New Roman;serif" w:hAnsi="Times New Roman;serif"/>
                  <w:b w:val="false"/>
                  <w:color w:val="0000FF"/>
                  <w:sz w:val="20"/>
                  <w:u w:val="single"/>
                </w:rPr>
                <w:t>58</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88">
              <w:r>
                <w:rPr>
                  <w:rStyle w:val="InternetLink"/>
                  <w:rFonts w:ascii="Times New Roman;serif" w:hAnsi="Times New Roman;serif"/>
                  <w:b w:val="false"/>
                  <w:color w:val="0000FF"/>
                  <w:sz w:val="20"/>
                  <w:u w:val="single"/>
                </w:rPr>
                <w:t>Item 2.</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88">
              <w:r>
                <w:rPr>
                  <w:rStyle w:val="InternetLink"/>
                  <w:rFonts w:ascii="Times New Roman;serif" w:hAnsi="Times New Roman;serif"/>
                  <w:b w:val="false"/>
                  <w:color w:val="0000FF"/>
                  <w:sz w:val="20"/>
                  <w:u w:val="single"/>
                </w:rPr>
                <w:t>Properties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88">
              <w:r>
                <w:rPr>
                  <w:rStyle w:val="InternetLink"/>
                  <w:rFonts w:ascii="Times New Roman;serif" w:hAnsi="Times New Roman;serif"/>
                  <w:b w:val="false"/>
                  <w:color w:val="0000FF"/>
                  <w:sz w:val="20"/>
                  <w:u w:val="single"/>
                </w:rPr>
                <w:t>59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91">
              <w:r>
                <w:rPr>
                  <w:rStyle w:val="InternetLink"/>
                  <w:rFonts w:ascii="Times New Roman;serif" w:hAnsi="Times New Roman;serif"/>
                  <w:b w:val="false"/>
                  <w:color w:val="0000FF"/>
                  <w:sz w:val="20"/>
                  <w:u w:val="single"/>
                </w:rPr>
                <w:t>Item 3.</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91">
              <w:r>
                <w:rPr>
                  <w:rStyle w:val="InternetLink"/>
                  <w:rFonts w:ascii="Times New Roman;serif" w:hAnsi="Times New Roman;serif"/>
                  <w:b w:val="false"/>
                  <w:color w:val="0000FF"/>
                  <w:sz w:val="20"/>
                  <w:u w:val="single"/>
                </w:rPr>
                <w:t>Legal Proceedings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91">
              <w:r>
                <w:rPr>
                  <w:rStyle w:val="InternetLink"/>
                  <w:rFonts w:ascii="Times New Roman;serif" w:hAnsi="Times New Roman;serif"/>
                  <w:b w:val="false"/>
                  <w:color w:val="0000FF"/>
                  <w:sz w:val="20"/>
                  <w:u w:val="single"/>
                </w:rPr>
                <w:t>59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94">
              <w:r>
                <w:rPr>
                  <w:rStyle w:val="InternetLink"/>
                  <w:rFonts w:ascii="Times New Roman;serif" w:hAnsi="Times New Roman;serif"/>
                  <w:b w:val="false"/>
                  <w:color w:val="0000FF"/>
                  <w:sz w:val="20"/>
                  <w:u w:val="single"/>
                </w:rPr>
                <w:t>Item 4.</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94">
              <w:r>
                <w:rPr>
                  <w:rStyle w:val="InternetLink"/>
                  <w:rFonts w:ascii="Times New Roman;serif" w:hAnsi="Times New Roman;serif"/>
                  <w:b w:val="false"/>
                  <w:color w:val="0000FF"/>
                  <w:sz w:val="20"/>
                  <w:u w:val="single"/>
                </w:rPr>
                <w:t>Mine Safety Disclosures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94">
              <w:r>
                <w:rPr>
                  <w:rStyle w:val="InternetLink"/>
                  <w:rFonts w:ascii="Times New Roman;serif" w:hAnsi="Times New Roman;serif"/>
                  <w:b w:val="false"/>
                  <w:color w:val="0000FF"/>
                  <w:sz w:val="20"/>
                  <w:u w:val="single"/>
                </w:rPr>
                <w:t>59</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97">
              <w:r>
                <w:rPr>
                  <w:rStyle w:val="InternetLink"/>
                  <w:rFonts w:ascii="Times New Roman;serif" w:hAnsi="Times New Roman;serif"/>
                  <w:b/>
                  <w:color w:val="0000FF"/>
                  <w:sz w:val="20"/>
                  <w:u w:val="single"/>
                </w:rPr>
                <w:t>PART II</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100">
              <w:r>
                <w:rPr>
                  <w:rStyle w:val="InternetLink"/>
                  <w:rFonts w:ascii="Times New Roman;serif" w:hAnsi="Times New Roman;serif"/>
                  <w:b w:val="false"/>
                  <w:color w:val="0000FF"/>
                  <w:sz w:val="20"/>
                  <w:u w:val="single"/>
                </w:rPr>
                <w:t>Item 5.</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10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100">
              <w:r>
                <w:rPr>
                  <w:rStyle w:val="InternetLink"/>
                  <w:rFonts w:ascii="Times New Roman;serif" w:hAnsi="Times New Roman;serif"/>
                  <w:b w:val="false"/>
                  <w:color w:val="0000FF"/>
                  <w:sz w:val="20"/>
                  <w:u w:val="single"/>
                </w:rPr>
                <w:t>60</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106">
              <w:r>
                <w:rPr>
                  <w:rStyle w:val="InternetLink"/>
                  <w:rFonts w:ascii="Times New Roman;serif" w:hAnsi="Times New Roman;serif"/>
                  <w:b w:val="false"/>
                  <w:color w:val="0000FF"/>
                  <w:sz w:val="20"/>
                  <w:u w:val="single"/>
                </w:rPr>
                <w:t>Item 6.</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[RESERVED]</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106">
              <w:r>
                <w:rPr>
                  <w:rStyle w:val="InternetLink"/>
                  <w:rFonts w:ascii="Times New Roman;serif" w:hAnsi="Times New Roman;serif"/>
                  <w:b w:val="false"/>
                  <w:color w:val="0000FF"/>
                  <w:sz w:val="20"/>
                  <w:u w:val="single"/>
                </w:rPr>
                <w:t>61</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109">
              <w:r>
                <w:rPr>
                  <w:rStyle w:val="InternetLink"/>
                  <w:rFonts w:ascii="Times New Roman;serif" w:hAnsi="Times New Roman;serif"/>
                  <w:b w:val="false"/>
                  <w:color w:val="0000FF"/>
                  <w:sz w:val="20"/>
                  <w:u w:val="single"/>
                </w:rPr>
                <w:t>Item 7.</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109">
              <w:r>
                <w:rPr>
                  <w:rStyle w:val="InternetLink"/>
                  <w:rFonts w:ascii="Times New Roman;serif" w:hAnsi="Times New Roman;serif"/>
                  <w:b w:val="false"/>
                  <w:color w:val="0000FF"/>
                  <w:sz w:val="20"/>
                  <w:u w:val="single"/>
                </w:rPr>
                <w:t>62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11">
              <w:r>
                <w:rPr>
                  <w:rStyle w:val="InternetLink"/>
                  <w:rFonts w:ascii="Times New Roman;serif" w:hAnsi="Times New Roman;serif"/>
                  <w:b w:val="false"/>
                  <w:color w:val="0000FF"/>
                  <w:sz w:val="20"/>
                  <w:u w:val="single"/>
                </w:rPr>
                <w:t>Item 7A.</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11">
              <w:r>
                <w:rPr>
                  <w:rStyle w:val="InternetLink"/>
                  <w:rFonts w:ascii="Times New Roman;serif" w:hAnsi="Times New Roman;serif"/>
                  <w:b w:val="false"/>
                  <w:color w:val="0000FF"/>
                  <w:sz w:val="20"/>
                  <w:u w:val="single"/>
                </w:rPr>
                <w:t>Quantitative and Qualitative Disclosures About Market Risk</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11">
              <w:r>
                <w:rPr>
                  <w:rStyle w:val="InternetLink"/>
                  <w:rFonts w:ascii="Times New Roman;serif" w:hAnsi="Times New Roman;serif"/>
                  <w:b w:val="false"/>
                  <w:color w:val="0000FF"/>
                  <w:sz w:val="20"/>
                  <w:u w:val="single"/>
                </w:rPr>
                <w:t>86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14">
              <w:r>
                <w:rPr>
                  <w:rStyle w:val="InternetLink"/>
                  <w:rFonts w:ascii="Times New Roman;serif" w:hAnsi="Times New Roman;serif"/>
                  <w:b w:val="false"/>
                  <w:color w:val="0000FF"/>
                  <w:sz w:val="20"/>
                  <w:u w:val="single"/>
                </w:rPr>
                <w:t>Item 8.</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14">
              <w:r>
                <w:rPr>
                  <w:rStyle w:val="InternetLink"/>
                  <w:rFonts w:ascii="Times New Roman;serif" w:hAnsi="Times New Roman;serif"/>
                  <w:b w:val="false"/>
                  <w:color w:val="0000FF"/>
                  <w:sz w:val="20"/>
                  <w:u w:val="single"/>
                </w:rPr>
                <w:t>Financial Statements and Supplementary Data</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14">
              <w:r>
                <w:rPr>
                  <w:rStyle w:val="InternetLink"/>
                  <w:rFonts w:ascii="Times New Roman;serif" w:hAnsi="Times New Roman;serif"/>
                  <w:b w:val="false"/>
                  <w:color w:val="0000FF"/>
                  <w:sz w:val="20"/>
                  <w:u w:val="single"/>
                </w:rPr>
                <w:t>87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95">
              <w:r>
                <w:rPr>
                  <w:rStyle w:val="InternetLink"/>
                  <w:rFonts w:ascii="Times New Roman;serif" w:hAnsi="Times New Roman;serif"/>
                  <w:b w:val="false"/>
                  <w:color w:val="0000FF"/>
                  <w:sz w:val="20"/>
                  <w:u w:val="single"/>
                </w:rPr>
                <w:t>Item 9.</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95">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95">
              <w:r>
                <w:rPr>
                  <w:rStyle w:val="InternetLink"/>
                  <w:rFonts w:ascii="Times New Roman;serif" w:hAnsi="Times New Roman;serif"/>
                  <w:b w:val="false"/>
                  <w:color w:val="0000FF"/>
                  <w:sz w:val="20"/>
                  <w:u w:val="single"/>
                </w:rPr>
                <w:t>124</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98">
              <w:r>
                <w:rPr>
                  <w:rStyle w:val="InternetLink"/>
                  <w:rFonts w:ascii="Times New Roman;serif" w:hAnsi="Times New Roman;serif"/>
                  <w:b w:val="false"/>
                  <w:color w:val="0000FF"/>
                  <w:sz w:val="20"/>
                  <w:u w:val="single"/>
                </w:rPr>
                <w:t>Item 9A.</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98">
              <w:r>
                <w:rPr>
                  <w:rStyle w:val="InternetLink"/>
                  <w:rFonts w:ascii="Times New Roman;serif" w:hAnsi="Times New Roman;serif"/>
                  <w:b w:val="false"/>
                  <w:color w:val="0000FF"/>
                  <w:sz w:val="20"/>
                  <w:u w:val="single"/>
                </w:rPr>
                <w:t>Controls and Procedures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98">
              <w:r>
                <w:rPr>
                  <w:rStyle w:val="InternetLink"/>
                  <w:rFonts w:ascii="Times New Roman;serif" w:hAnsi="Times New Roman;serif"/>
                  <w:b w:val="false"/>
                  <w:color w:val="0000FF"/>
                  <w:sz w:val="20"/>
                  <w:u w:val="single"/>
                </w:rPr>
                <w:t>124</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01">
              <w:r>
                <w:rPr>
                  <w:rStyle w:val="InternetLink"/>
                  <w:rFonts w:ascii="Times New Roman;serif" w:hAnsi="Times New Roman;serif"/>
                  <w:b w:val="false"/>
                  <w:color w:val="0000FF"/>
                  <w:sz w:val="20"/>
                  <w:u w:val="single"/>
                </w:rPr>
                <w:t>Item 9B.</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01">
              <w:r>
                <w:rPr>
                  <w:rStyle w:val="InternetLink"/>
                  <w:rFonts w:ascii="Times New Roman;serif" w:hAnsi="Times New Roman;serif"/>
                  <w:b w:val="false"/>
                  <w:color w:val="0000FF"/>
                  <w:sz w:val="20"/>
                  <w:u w:val="single"/>
                </w:rPr>
                <w:t>Other Information</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01">
              <w:r>
                <w:rPr>
                  <w:rStyle w:val="InternetLink"/>
                  <w:rFonts w:ascii="Times New Roman;serif" w:hAnsi="Times New Roman;serif"/>
                  <w:b w:val="false"/>
                  <w:color w:val="0000FF"/>
                  <w:sz w:val="20"/>
                  <w:u w:val="single"/>
                </w:rPr>
                <w:t>125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07">
              <w:r>
                <w:rPr>
                  <w:rStyle w:val="InternetLink"/>
                  <w:rFonts w:ascii="Times New Roman;serif" w:hAnsi="Times New Roman;serif"/>
                  <w:b w:val="false"/>
                  <w:color w:val="0000FF"/>
                  <w:sz w:val="20"/>
                  <w:u w:val="single"/>
                </w:rPr>
                <w:t>Item 9C.</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07">
              <w:r>
                <w:rPr>
                  <w:rStyle w:val="InternetLink"/>
                  <w:rFonts w:ascii="Times New Roman;serif" w:hAnsi="Times New Roman;serif"/>
                  <w:b w:val="false"/>
                  <w:color w:val="0000FF"/>
                  <w:sz w:val="20"/>
                  <w:u w:val="single"/>
                </w:rPr>
                <w:t>Disclosure Regarding Foreign Jurisdictions that Prevent Inspections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07">
              <w:r>
                <w:rPr>
                  <w:rStyle w:val="InternetLink"/>
                  <w:rFonts w:ascii="Times New Roman;serif" w:hAnsi="Times New Roman;serif"/>
                  <w:b w:val="false"/>
                  <w:color w:val="0000FF"/>
                  <w:sz w:val="20"/>
                  <w:u w:val="single"/>
                </w:rPr>
                <w:t>125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10">
              <w:r>
                <w:rPr>
                  <w:rStyle w:val="InternetLink"/>
                  <w:rFonts w:ascii="Times New Roman;serif" w:hAnsi="Times New Roman;serif"/>
                  <w:b/>
                  <w:color w:val="0000FF"/>
                  <w:sz w:val="20"/>
                  <w:u w:val="single"/>
                </w:rPr>
                <w:t>PART III</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13">
              <w:r>
                <w:rPr>
                  <w:rStyle w:val="InternetLink"/>
                  <w:rFonts w:ascii="Times New Roman;serif" w:hAnsi="Times New Roman;serif"/>
                  <w:b w:val="false"/>
                  <w:color w:val="0000FF"/>
                  <w:sz w:val="20"/>
                  <w:u w:val="single"/>
                </w:rPr>
                <w:t>Item 10.</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13">
              <w:r>
                <w:rPr>
                  <w:rStyle w:val="InternetLink"/>
                  <w:rFonts w:ascii="Times New Roman;serif" w:hAnsi="Times New Roman;serif"/>
                  <w:b w:val="false"/>
                  <w:color w:val="000080"/>
                  <w:sz w:val="20"/>
                  <w:u w:val="single"/>
                </w:rPr>
                <w:t>Directors, Executive Officers</w:t>
              </w:r>
            </w:hyperlink>
            <w:hyperlink w:anchor="ia1fb1a5252904fe68dcec7c16634164c_313">
              <w:r>
                <w:rPr>
                  <w:rStyle w:val="InternetLink"/>
                  <w:rFonts w:ascii="Times New Roman;serif" w:hAnsi="Times New Roman;serif"/>
                  <w:b w:val="false"/>
                  <w:color w:val="000080"/>
                  <w:sz w:val="20"/>
                  <w:u w:val="single"/>
                </w:rPr>
                <w:t>,</w:t>
              </w:r>
            </w:hyperlink>
            <w:hyperlink w:anchor="ia1fb1a5252904fe68dcec7c16634164c_313">
              <w:r>
                <w:rPr>
                  <w:rStyle w:val="InternetLink"/>
                  <w:rFonts w:ascii="Times New Roman;serif" w:hAnsi="Times New Roman;serif"/>
                  <w:b w:val="false"/>
                  <w:color w:val="000080"/>
                  <w:sz w:val="20"/>
                  <w:u w:val="single"/>
                </w:rPr>
                <w:t xml:space="preserve"> and Corporate Governance</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13">
              <w:r>
                <w:rPr>
                  <w:rStyle w:val="InternetLink"/>
                  <w:rFonts w:ascii="Times New Roman;serif" w:hAnsi="Times New Roman;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16">
              <w:r>
                <w:rPr>
                  <w:rStyle w:val="InternetLink"/>
                  <w:rFonts w:ascii="Times New Roman;serif" w:hAnsi="Times New Roman;serif"/>
                  <w:b w:val="false"/>
                  <w:color w:val="0000FF"/>
                  <w:sz w:val="20"/>
                  <w:u w:val="single"/>
                </w:rPr>
                <w:t>Item 11.</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16">
              <w:r>
                <w:rPr>
                  <w:rStyle w:val="InternetLink"/>
                  <w:rFonts w:ascii="Times New Roman;serif" w:hAnsi="Times New Roman;serif"/>
                  <w:b w:val="false"/>
                  <w:color w:val="0000FF"/>
                  <w:sz w:val="20"/>
                  <w:u w:val="single"/>
                </w:rPr>
                <w:t>Executive Compensation</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16">
              <w:r>
                <w:rPr>
                  <w:rStyle w:val="InternetLink"/>
                  <w:rFonts w:ascii="Times New Roman;serif" w:hAnsi="Times New Roman;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19">
              <w:r>
                <w:rPr>
                  <w:rStyle w:val="InternetLink"/>
                  <w:rFonts w:ascii="Times New Roman;serif" w:hAnsi="Times New Roman;serif"/>
                  <w:b w:val="false"/>
                  <w:color w:val="0000FF"/>
                  <w:sz w:val="20"/>
                  <w:u w:val="single"/>
                </w:rPr>
                <w:t>Item 12.</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19">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19">
              <w:r>
                <w:rPr>
                  <w:rStyle w:val="InternetLink"/>
                  <w:rFonts w:ascii="Times New Roman;serif" w:hAnsi="Times New Roman;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22">
              <w:r>
                <w:rPr>
                  <w:rStyle w:val="InternetLink"/>
                  <w:rFonts w:ascii="Times New Roman;serif" w:hAnsi="Times New Roman;serif"/>
                  <w:b w:val="false"/>
                  <w:color w:val="0000FF"/>
                  <w:sz w:val="20"/>
                  <w:u w:val="single"/>
                </w:rPr>
                <w:t>Item 13.</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22">
              <w:r>
                <w:rPr>
                  <w:rStyle w:val="InternetLink"/>
                  <w:rFonts w:ascii="Times New Roman;serif" w:hAnsi="Times New Roman;serif"/>
                  <w:b w:val="false"/>
                  <w:color w:val="0000FF"/>
                  <w:sz w:val="20"/>
                  <w:u w:val="single"/>
                </w:rPr>
                <w:t>Certain Relationships and Related Transactions and Director Independence</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22">
              <w:r>
                <w:rPr>
                  <w:rStyle w:val="InternetLink"/>
                  <w:rFonts w:ascii="Times New Roman;serif" w:hAnsi="Times New Roman;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25">
              <w:r>
                <w:rPr>
                  <w:rStyle w:val="InternetLink"/>
                  <w:rFonts w:ascii="Times New Roman;serif" w:hAnsi="Times New Roman;serif"/>
                  <w:b w:val="false"/>
                  <w:color w:val="0000FF"/>
                  <w:sz w:val="20"/>
                  <w:u w:val="single"/>
                </w:rPr>
                <w:t>Item 14.</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25">
              <w:r>
                <w:rPr>
                  <w:rStyle w:val="InternetLink"/>
                  <w:rFonts w:ascii="Times New Roman;serif" w:hAnsi="Times New Roman;serif"/>
                  <w:b w:val="false"/>
                  <w:color w:val="0000FF"/>
                  <w:sz w:val="20"/>
                  <w:u w:val="single"/>
                </w:rPr>
                <w:t>Principal Accountant Fees and Services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25">
              <w:r>
                <w:rPr>
                  <w:rStyle w:val="InternetLink"/>
                  <w:rFonts w:ascii="Times New Roman;serif" w:hAnsi="Times New Roman;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28">
              <w:r>
                <w:rPr>
                  <w:rStyle w:val="InternetLink"/>
                  <w:rFonts w:ascii="Times New Roman;serif" w:hAnsi="Times New Roman;serif"/>
                  <w:b/>
                  <w:color w:val="0000FF"/>
                  <w:sz w:val="20"/>
                  <w:u w:val="single"/>
                </w:rPr>
                <w:t>PART IV</w:t>
              </w:r>
            </w:hyperlink>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31">
              <w:r>
                <w:rPr>
                  <w:rStyle w:val="InternetLink"/>
                  <w:rFonts w:ascii="Times New Roman;serif" w:hAnsi="Times New Roman;serif"/>
                  <w:b w:val="false"/>
                  <w:color w:val="0000FF"/>
                  <w:sz w:val="20"/>
                  <w:u w:val="single"/>
                </w:rPr>
                <w:t>Item 15.</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31">
              <w:r>
                <w:rPr>
                  <w:rStyle w:val="InternetLink"/>
                  <w:rFonts w:ascii="Times New Roman;serif" w:hAnsi="Times New Roman;serif"/>
                  <w:b w:val="false"/>
                  <w:color w:val="0000FF"/>
                  <w:sz w:val="20"/>
                  <w:u w:val="single"/>
                </w:rPr>
                <w:t>Exhibits and Financial Statement Schedules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31">
              <w:r>
                <w:rPr>
                  <w:rStyle w:val="InternetLink"/>
                  <w:rFonts w:ascii="Times New Roman;serif" w:hAnsi="Times New Roman;serif"/>
                  <w:b w:val="false"/>
                  <w:color w:val="0000FF"/>
                  <w:sz w:val="20"/>
                  <w:u w:val="single"/>
                </w:rPr>
                <w:t>127</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37">
              <w:r>
                <w:rPr>
                  <w:rStyle w:val="InternetLink"/>
                  <w:rFonts w:ascii="Times New Roman;serif" w:hAnsi="Times New Roman;serif"/>
                  <w:b w:val="false"/>
                  <w:color w:val="0000FF"/>
                  <w:sz w:val="20"/>
                  <w:u w:val="single"/>
                </w:rPr>
                <w:t>Item 16.</w:t>
              </w:r>
            </w:hyperlink>
          </w:p>
        </w:tc>
        <w:tc>
          <w:tcPr>
            <w:tcW w:w="83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37">
              <w:r>
                <w:rPr>
                  <w:rStyle w:val="InternetLink"/>
                  <w:rFonts w:ascii="Times New Roman;serif" w:hAnsi="Times New Roman;serif"/>
                  <w:b w:val="false"/>
                  <w:color w:val="0000FF"/>
                  <w:sz w:val="20"/>
                  <w:u w:val="single"/>
                </w:rPr>
                <w:t>Form 10-K Summary</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37">
              <w:r>
                <w:rPr>
                  <w:rStyle w:val="InternetLink"/>
                  <w:rFonts w:ascii="Times New Roman;serif" w:hAnsi="Times New Roman;serif"/>
                  <w:b w:val="false"/>
                  <w:color w:val="0000FF"/>
                  <w:sz w:val="20"/>
                  <w:u w:val="single"/>
                </w:rPr>
                <w:t>128</w:t>
              </w:r>
            </w:hyperlink>
          </w:p>
        </w:tc>
      </w:tr>
      <w:tr>
        <w:trPr/>
        <w:tc>
          <w:tcPr>
            <w:tcW w:w="93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0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340">
              <w:r>
                <w:rPr>
                  <w:rStyle w:val="InternetLink"/>
                  <w:rFonts w:ascii="Times New Roman;serif" w:hAnsi="Times New Roman;serif"/>
                  <w:b/>
                  <w:color w:val="0000FF"/>
                  <w:sz w:val="20"/>
                  <w:u w:val="single"/>
                </w:rPr>
                <w:t>SIGNATURES</w:t>
              </w:r>
            </w:hyperlink>
          </w:p>
        </w:tc>
        <w:tc>
          <w:tcPr>
            <w:tcW w:w="90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340">
              <w:r>
                <w:rPr>
                  <w:rStyle w:val="InternetLink"/>
                  <w:rFonts w:ascii="Times New Roman;serif" w:hAnsi="Times New Roman;serif"/>
                  <w:b w:val="false"/>
                  <w:color w:val="0000FF"/>
                  <w:sz w:val="20"/>
                  <w:u w:val="single"/>
                </w:rPr>
                <w:t>129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CAUTIONARY NOTE REGARDING FORWARD-LOOKING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Section 27A of the Securities Act of 1933, as amended, and Section 21E of the Securities Exchange Act of 1934, as amended. Forward-looking statements relate to expectations concerning matters that are not historical facts. Statements using words such as “estimates,” “projects,” “believes,” “anticipates,” “plans,” “expects,” “intends,” “may,” “will,” “could,” “commit,” “ensure,” “promote,” “should,” “would,” “goals,” “seek,” “potential,” “targeted,” and similar words and expressions are intended to identify forward-looking statements. These forward-looking statements include, but are not limited to, statements related to future results of operations, future financial condition, our financing plans and future capital requirements, our potential tax assets or liabilities, and statements based on current expectations, estimates, forecasts, and projections about the economies and geographic markets in which we operate and our beliefs and assumptions regarding these economies and markets. These forward-looking statements are necessarily estimates reflecting the judgment of our management and involve a number of risks and uncertainties that could cause actual results to differ materially from those suggested by the forward-looking statements. These forward-looking statements should be considered in light of various important factors, including, but not limited to, the following: the overall macroeconomic environment, which may impact customer spending and our costs, including tariffs, the levels of inflation, and interest rates; the conflict between Ukraine and Russia; conflicts in the Middle East; disruption to our supply chain, including difficulties in obtaining a sufficient supply of materials; curtailed or delayed capital spending by hospitals; the impact of global and regional economic and credit market conditions on healthcare spending; delays in obtaining new product approvals, clearances, or certifications from the U.S. Food and Drug Administration (“FDA”), comparable regulatory authorities, or notified bodies; the risk of our inability to comply with complex FDA and other regulations, which may result in significant enforcement actions; regulatory approvals, clearances, certifications, and restrictions or any dispute that may occur with any regulatory body; healthcare reform legislation in the U.S. and its impact on hospital spending, reimbursement, and fees levied on certain medical device revenues; changes in hospital admissions and actions by payers to limit or manage surgical procedures; the timing and success of product development and customer acceptance of developed products; the results of any collaborations, in-licensing arrangements, joint ventures, strategic alliances, or partnerships, including the joint venture with Shanghai Fosun Pharmaceutical (Group) Co., Ltd.; our completion of and ability to successfully integrate acquisitions; intellectual property positions and litigation; risks associated with our operations and any expansion outside of the U.S.; unanticipated manufacturing disruptions or the inability to meet demand for products; our reliance on sole- and single-sourced suppliers; the results of legal proceedings to which we are or may become a party; adverse publicity regarding us and the safety of our products and adequacy of training; the impact of changes to tax legislation, guidance, and interpretations; changes in tariffs, trade barriers, and regulatory requirements (including changes to tariffs imposed by the U.S. on imports from various countries, including Mexico, where we currently manufacture a significant majority of our instruments and accessories, Germany, where we currently manufacture a majority of our endoscopes, and China, where we currently import certain materials); and other risks and uncertainties, including those listed under the caption “Risk Factors.” Readers are cautioned not to place undue reliance on these forward-looking statements, which speak only as of the date of this report and which are based on current expectations and are subject to risks, uncertainties, and assumptions that are difficult to predict. Our actual results may differ materially and adversely from those expressed in any forward-looking statement, and we undertake no obligation to publicly update or release any revisions to these forward-looking statements, except as required by law. Additional risks are described throughout this report, particularly in Part I, “Item 1A. Risk Factors,” and include, but are not limited to, those summarized on the following pages.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OUR BUSINESS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commercial landscape is highly competitive, and customers may choose our competitors’ products or services or may not accept robotic-assisted medical procedures, which could result in reduced revenue and loss of customers.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are subject to a variety of risks due to our operations outside of the U.S.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are subject to litigation, investigations, and other legal proceedings relating to our products, customers, competitors, and government regulators that may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offer usage-based arrangements, including alternative capital acquisition approaches; as a result, we are exposed to an increased risk of losses of revenue and increased credit risk, which could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reliance on sole- and single-sourced suppliers and ability to purchase at acceptable prices a sufficient supply of materials could harm our ability to meet product demand in a timely manner or within budget.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New product developments and introductions may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may encounter manufacturing problems or delays that could result in lost revenue.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expect gross profit margins to vary over time, and changes in our gross profit margins could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Macroeconomic conditions could materially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Information technology system failures, cyberattacks, or deficiencies in our cybersecurity could harm our business, customer relations,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our products do not achieve and maintain customer acceptance, we will not be able to generate the revenue necessary to support our business.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hospitals are unable to obtain coverage and reimbursement for procedures using our products, if reimbursement is insufficient to cover the costs of purchasing our products, or if limitations are imposed by governments on the amount hospitals can charge for certain procedures, we may be unable to generate sufficient sales to support our business.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our products contain defects or encounter performance problems, we may have to recall our products and our reputation may suffer.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utilize distributors for a portion of our sales and service of our products in certain countries, which subjects us to a number of risks that could harm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failure to attract and retain key personnel could harm our ability to compete, and changes in our existing labor relationships could materially adversely impact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Incorporating artificial intelligence technologies into our products, services, and operations may result in legal and regulatory risks or have other adverse consequences to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Negative publicity, whether accurate or inaccurate, concerning our products or our company could reduce acceptance of our products and could result in decreased product demand and reduced revenues.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could be subject to significant, uninsured losses, which may have a material adverse impact on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experience long and variable contracting cycles and seasonality in our business, which may cause fluctuations in our financial results.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Third parties may offer to sell remanufactured or unauthorized instruments and accessories to our customers or provide unauthorized service on our systems, which could adversely impact safety, our financial results, and our reputation.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business is subject to complex and evolving laws and regulations regarding data privacy, data protection, artificial intelligence, and responsible use of data, and any failure to comply may result in significant liability, negative publicity, and/or erosion of trust, which may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Ongoing and future global conflicts could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Disruptions at the FDA and other government agencies or notified bodies could prevent our products from being cleared, certified, approved, or commercialized in a timely manner or at all, or could hinder their ability to procure our products, which may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Public health crises or epidemic diseases, or the perception of their effects, could materially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If we do not successfully manage our collaboration, licensing, joint venture, strategic alliance, or partnership arrangements with third parties, we may not realize the expected benefits from such arrangements, which may have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material adverse effect on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we fail to successfully acquire or integrate new businesses, products, and technology, we may not realize expected benefits, or our business may be harmed.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are exposed to credit risk and fluctuations in the market value of our investments.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tax laws or exposure to additional tax liabilities may adversely affect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are subject to risks associated with real estate construction and development.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Climate change, natural disasters, or other events beyond our control could disrupt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Consolidation in the healthcare industry could have an adverse effect on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OUR REGULATORY ENVIRONMENT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Complying with FDA and foreign regulations is a complex process, and our failure to fully comply could subject us to significant enforcement actions.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products are subject to a lengthy and uncertain domestic regulatory review process. If we do not obtain and maintain the necessary domestic regulatory authorizations, we will not be able to sell our products in the U.S.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our manufacturing facilities do not continue to meet federal, state, or other manufacturing regulations and standards, we may be required to temporarily cease all or part of our manufacturing operations, import/export of our products, and/or recall some products, which could result in significant product delivery delays and lost revenue.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products are subject to international regulatory processes and approval or certification requirements. If we do not obtain and maintain the necessary regulatory requirements, we will not be able to sell our products in other countries.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healthcare legislation and policy may have an adverse effect on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 financial condition, or results of operations.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hospitals and other surgical facilities do not continue to meet federal, state, or other regulatory standards, they may be required to temporarily cease all or part of their system utilization.</w:t>
      </w: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RISKS RELATING TO OUR INTELLECTUAL PROPERTY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If we are unable to fully protect and successfully defend our intellectual property from use by third parties, our ability to compete may be harmed.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Others may be successful in asserting that our products infringe their intellectual property rights, which may cause us to pay substantial damages and/or enjoin us from commercializing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products may rely on licenses from third parties, which may not be available to us on commercially reasonable terms or at all. If we lose access to these technologies, our revenues could decline.</w:t>
      </w:r>
    </w:p>
    <w:p>
      <w:pPr>
        <w:pStyle w:val="TextBody"/>
        <w:bidi w:val="0"/>
        <w:spacing w:lineRule="auto" w:line="288" w:before="120" w:after="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GENERAL RISK FACTORS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future operating results may be below expectations, which could cause our stock price to decline.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stock price has been, and will likely continue to be, volatile.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to financial accounting standards may affect our reported results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summary of material risk factors described above should be read together with the text of the full risk factors below in the section entitled “Item 1A. Risk Factors” and the other information set forth in this Annual Report on Form 10-K, including our Consolidated Financial Statements and the related notes, as well as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360" w:after="12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report, “Intuitive Surgical,” “Intuitive,” the “Company,” “we,” “us,” and “our” refer to Intuitive Surgical, Inc. and its wholly and majority-owned subsidiaries. Product and brand names and logos, including Intuitive, da Vinci, and Ion, are trademarks or registered trademarks of Intuitive Surgical, Inc. or one of its subsidiaries or of their respective owners. Additional information about our trademarks can be found on our website at www.intuitive.com/trademarks. Although we reference our trademarks located on our website, this list of trademarks and any other materials on our corporate website are not incorporated by reference into this Form 10-K or any of our other filings under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Company Background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Intuitive’s mission, we believe that minimally invasive care is life-enhancing care. By combining ingenuity and intelligent technology, we expand the potential of physicians to heal without constraints. We envision a future of care that is less invasive and profoundly better, where diseases are identified early and treated quickly so patients can get back to what matters most.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our founding over 30 years ago, we have been delivering on this mission and vision by combining innovative technology with clinical expertise to advance minimally invasive care. We do so by providing a comprehensive ecosystem that includes robotic-assisted systems, instruments and accessories, customer learning, and customer support services all connected by a digital portfolio that enables actionable insights across the care continuum. Among other capabilities, these products and services can augment the skills and improve the efficiency of clinicians and care teams while providing decision support and learning that can help deliver differentiated clinical and economic value for patients, providers, and payers when compared to the next best available treatment options.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assure continued alignment with the patients and healthcare community we serve, we have adopted the Quintuple Aim as our “north star.” Starting with a focus on patients, we seek to demonstrate that our products can deliver better outcomes that are validated by rigorous, independent, and peer-reviewed evidence. Second, we aim to create better patient experiences that enable patients to get back to what matters most in their lives more quickly, with fewer complications, less pain and discomfort, and greater predictability. Third, we aim to enable the care teams who use our platforms and technology-enabled ecosystem to have better experiences that augment their skills while reducing fatigue and increasing efficiency and reliability. Fourth, we aim to help lower the total cost of care per patient episode when compared with existing treatment alternatives, providing a return on investment for hospitals and healthcare systems and value for payers. Lastly, we aim to expand access to high-quality minimally invasive care by working together with hospitals, healthcare systems, patient advocacy groups, and other stakeholders to address barriers to care.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surgery and acute interventions have improved significantly in the past few decades, there remains a significant need for improvement across all aspects of the Quintuple Aim. Healthcare payers and providers continue to expect better clinical outcomes and decreased variability of outcomes across clinicians and care teams. Globally, some healthcare systems continue to be stressed and lacking in critical resources, including the professionals who staff care teams. At the same time, healthcare providers, payers, and governments strain to cover the healthcare needs of their populations and demand lower total cost per patient to treat disease. In the face of these challenges, we believe that we are well-positioned to synthesize scientific and technological advances in biology, computing, imaging, algorithms, and robotics to deliver meaningful and measurable value to all of our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Products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Systems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robotic-assisted platforms extend the care teams’ capabilities to deliver minimally invasive care. These platforms include da Vinci surgical systems, which are designed to enable a wide range of surgical procedures across a broad patient population using a minimally invasive approach, and the Ion endoluminal system, which extends our commercial offerings beyond surgery into diagnostic procedures, enabling minimally invasive biopsies in the lung.</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Da Vinci Surgical Systems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Intuitive launched its first da Vinci surgical system in 1999, with the goals of enhancing surgical capabilities and facilitating less invasive care through improved precision, vision, and control. In 2000, the FDA cleared da Vinci for use in general laparoscopic surgery. Since then, we have received numerous additional indications in the U.S. and in countries around the world, for a broad array of procedures across general surgery, urologic, gynecologic, cardiothoracic, and head and neck specialties, among others. Refer to the section titled “Regulatory Activities” in our Management’s Discussion and Analysis of Financial Condition and Results of Operations for more recent regulatory clearances, approvals, and certification.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pPr>
      <w:r>
        <w:rPr>
          <w:rFonts w:ascii="Times New Roman;serif" w:hAnsi="Times New Roman;serif"/>
          <w:b w:val="false"/>
          <w:color w:val="000000"/>
          <w:sz w:val="20"/>
        </w:rPr>
        <w:t>There are several models of the da Vinci surgical system currently in use by our customers globally; these include our recently released fifth-generation da Vinci 5 surgical system, our fourth-generation da Vinci X, da Vinci Xi, and da Vinci SP surgical systems, and our third-generation da Vinci</w:t>
      </w:r>
      <w:r>
        <w:rPr>
          <w:color w:val="000000"/>
        </w:rPr>
        <w:t xml:space="preserve"> </w:t>
      </w:r>
      <w:r>
        <w:rPr>
          <w:rFonts w:ascii="Times New Roman;serif" w:hAnsi="Times New Roman;serif"/>
          <w:b w:val="false"/>
          <w:color w:val="000000"/>
          <w:sz w:val="20"/>
        </w:rPr>
        <w:t>Si surgical system.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recently released da Vinci 5 surgical system builds on da Vinci Xi’s highly functional design, featuring force feedback technology and instruments that enable surgeons to sense and measure the force exerted on tissue during surgery. It also includes new surgeon controllers, powerful vibration and tremor controls, a next-generation 3D display and image system, and throughput and workflow enhancements, such as an integrated electrosurgical unit and insufflation capabilities technology. Da Vinci 5 has more than 10,000 times the computing power of da Vinci Xi, allowing for innovative new system capabilities and advanced digital experiences, including integration with our My Intuitive app, SimNow (virtual reality simulator), Case Insights (computational observer), and Intuitive Hub (edge computing system). Additionally, the redesigned console provides greater surgeon comfort with customizable positioning, allowing surgeons to find their best fit for surgical viewing and comfort, including the ability to sit completely upright.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da Vinci surgical systems are comprised of the following components:</w:t>
      </w:r>
    </w:p>
    <w:p>
      <w:pPr>
        <w:pStyle w:val="TextBody"/>
        <w:bidi w:val="0"/>
        <w:spacing w:lineRule="auto" w:line="288" w:before="0" w:after="120"/>
        <w:jc w:val="both"/>
        <w:rPr/>
      </w:pPr>
      <w:r>
        <w:rPr>
          <w:rFonts w:ascii="Times New Roman;serif" w:hAnsi="Times New Roman;serif"/>
          <w:b/>
          <w:i/>
          <w:color w:val="000000"/>
          <w:sz w:val="20"/>
        </w:rPr>
        <w:t>Surgeon Console</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da Vinci surgical system allows surgeons to operate while comfortably seated at an ergonomic console viewing a three-dimensional, high definition (“3DHD”) image of the surgical field. The surgeon’s fingers grasp instrument controls below the display with the surgeon’s hands naturally positioned relative to his or her eyes. Using electronic hardware, software, algorithms, and mechanics, our technology translates the surgeon’s hand movements into precise and corresponding real-time micro movements of the da Vinci instruments positioned inside the patient. </w:t>
      </w:r>
    </w:p>
    <w:p>
      <w:pPr>
        <w:pStyle w:val="TextBody"/>
        <w:bidi w:val="0"/>
        <w:spacing w:lineRule="auto" w:line="288" w:before="0" w:after="120"/>
        <w:jc w:val="both"/>
        <w:rPr/>
      </w:pPr>
      <w:r>
        <w:rPr>
          <w:rFonts w:ascii="Times New Roman;serif" w:hAnsi="Times New Roman;serif"/>
          <w:b w:val="false"/>
          <w:color w:val="000000"/>
          <w:sz w:val="20"/>
        </w:rPr>
        <w:t>On most of our current systems (da Vinci 5, da Vinci</w:t>
      </w:r>
      <w:r>
        <w:rPr>
          <w:color w:val="000000"/>
        </w:rPr>
        <w:t xml:space="preserve"> </w:t>
      </w:r>
      <w:r>
        <w:rPr>
          <w:rFonts w:ascii="Times New Roman;serif" w:hAnsi="Times New Roman;serif"/>
          <w:b w:val="false"/>
          <w:color w:val="000000"/>
          <w:sz w:val="20"/>
        </w:rPr>
        <w:t>X</w:t>
      </w:r>
      <w:r>
        <w:rPr>
          <w:rFonts w:ascii="Times New Roman;serif" w:hAnsi="Times New Roman;serif"/>
          <w:b w:val="false"/>
          <w:i/>
          <w:color w:val="000000"/>
          <w:sz w:val="20"/>
        </w:rPr>
        <w:t xml:space="preserve">, </w:t>
      </w:r>
      <w:r>
        <w:rPr>
          <w:rFonts w:ascii="Times New Roman;serif" w:hAnsi="Times New Roman;serif"/>
          <w:b w:val="false"/>
          <w:color w:val="000000"/>
          <w:sz w:val="20"/>
        </w:rPr>
        <w:t>da Vinci</w:t>
      </w:r>
      <w:r>
        <w:rPr>
          <w:color w:val="000000"/>
        </w:rPr>
        <w:t xml:space="preserve"> </w:t>
      </w:r>
      <w:r>
        <w:rPr>
          <w:rFonts w:ascii="Times New Roman;serif" w:hAnsi="Times New Roman;serif"/>
          <w:b w:val="false"/>
          <w:color w:val="000000"/>
          <w:sz w:val="20"/>
        </w:rPr>
        <w:t>Xi, da Vinci SP, and da Vinci Si), a second surgeon console may be used in two ways: to provide assistance to the primary surgeon during surgery or to act as an active learning aid during surgeon-proctor training sessions. With the da Vinci 5, da Vinci</w:t>
      </w:r>
      <w:r>
        <w:rPr>
          <w:color w:val="000000"/>
        </w:rPr>
        <w:t xml:space="preserve"> </w:t>
      </w:r>
      <w:r>
        <w:rPr>
          <w:rFonts w:ascii="Times New Roman;serif" w:hAnsi="Times New Roman;serif"/>
          <w:b w:val="false"/>
          <w:color w:val="000000"/>
          <w:sz w:val="20"/>
        </w:rPr>
        <w:t>X</w:t>
      </w:r>
      <w:r>
        <w:rPr>
          <w:rFonts w:ascii="Times New Roman;serif" w:hAnsi="Times New Roman;serif"/>
          <w:b w:val="false"/>
          <w:i/>
          <w:color w:val="000000"/>
          <w:sz w:val="20"/>
        </w:rPr>
        <w:t xml:space="preserve">, </w:t>
      </w:r>
      <w:r>
        <w:rPr>
          <w:rFonts w:ascii="Times New Roman;serif" w:hAnsi="Times New Roman;serif"/>
          <w:b w:val="false"/>
          <w:color w:val="000000"/>
          <w:sz w:val="20"/>
        </w:rPr>
        <w:t>da Vinci</w:t>
      </w:r>
      <w:r>
        <w:rPr>
          <w:color w:val="000000"/>
        </w:rPr>
        <w:t xml:space="preserve"> </w:t>
      </w:r>
      <w:r>
        <w:rPr>
          <w:rFonts w:ascii="Times New Roman;serif" w:hAnsi="Times New Roman;serif"/>
          <w:b w:val="false"/>
          <w:color w:val="000000"/>
          <w:sz w:val="20"/>
        </w:rPr>
        <w:t>Xi, da Vinci SP, and da Vinci Si, a surgeon sitting at a second console can view the same surgery as the primary surgeon and can be passed control of some or all of the da Vinci instruments during the surgery. In addition, surgeons can control 3D virtual pointers to better facilitate training and other care team interactions. The da Vinci surgical system is designed to allow surgeons to operate while seated, which may be clinically advantageous because of reduced surgeon fatigue. The da Vinci surgical system’s design provides natural hand-eye alignment at the surgeon console. Because the da Vinci surgical system’s robotic arms hold the camera and instruments steady, there is less surgeon and assistant fatigue and enhanced control by the surgeon.</w:t>
      </w:r>
    </w:p>
    <w:p>
      <w:pPr>
        <w:pStyle w:val="TextBody"/>
        <w:bidi w:val="0"/>
        <w:spacing w:lineRule="auto" w:line="288" w:before="0" w:after="120"/>
        <w:jc w:val="both"/>
        <w:rPr/>
      </w:pPr>
      <w:r>
        <w:rPr>
          <w:rFonts w:ascii="Times New Roman;serif" w:hAnsi="Times New Roman;serif"/>
          <w:b/>
          <w:i/>
          <w:color w:val="000000"/>
          <w:sz w:val="20"/>
        </w:rPr>
        <w:t>Patient-Side Cart</w:t>
      </w:r>
      <w:r>
        <w:rPr>
          <w:rFonts w:ascii="Times New Roman;serif" w:hAnsi="Times New Roman;serif"/>
          <w:b/>
          <w:color w:val="000000"/>
          <w:sz w:val="20"/>
        </w:rPr>
        <w:t xml:space="preserve">. </w:t>
      </w:r>
      <w:r>
        <w:rPr>
          <w:rFonts w:ascii="Times New Roman;serif" w:hAnsi="Times New Roman;serif"/>
          <w:b w:val="false"/>
          <w:color w:val="000000"/>
          <w:sz w:val="20"/>
        </w:rPr>
        <w:t>The patient-side cart holds electromechanical arms that translate the motion of the surgeon’s hand to manipulate the instruments inside the patient. For our da Vinci 5, da Vinci X, da Vinci</w:t>
      </w:r>
      <w:r>
        <w:rPr>
          <w:color w:val="000000"/>
        </w:rPr>
        <w:t xml:space="preserve"> </w:t>
      </w:r>
      <w:r>
        <w:rPr>
          <w:rFonts w:ascii="Times New Roman;serif" w:hAnsi="Times New Roman;serif"/>
          <w:b w:val="false"/>
          <w:color w:val="000000"/>
          <w:sz w:val="20"/>
        </w:rPr>
        <w:t>Xi, and da Vinci</w:t>
      </w:r>
      <w:r>
        <w:rPr>
          <w:color w:val="000000"/>
        </w:rPr>
        <w:t xml:space="preserve"> </w:t>
      </w:r>
      <w:r>
        <w:rPr>
          <w:rFonts w:ascii="Times New Roman;serif" w:hAnsi="Times New Roman;serif"/>
          <w:b w:val="false"/>
          <w:color w:val="000000"/>
          <w:sz w:val="20"/>
        </w:rPr>
        <w:t>Si surgical systems, up to four arms attached to the cart can be positioned, as appropriate, and then locked into place. At least two arms hold surgical instruments, one representing the surgeon’s left hand and one representing the surgeon’s right hand. A third arm positions the endoscope, allowing the surgeon to easily move, zoom, and rotate the field of vision. A fourth instrument arm extends surgical capabilities by enabling the surgeon to add a third instrument to perform additional tasks. Our da Vinci single-port (“SP”) surgical system is designed for single-incision or natural orifice surgery. A single arm delivers three multi-jointed instruments and a fully articulating 3DHD endoscope for visibility and control in narrow surgical spaces. The instruments and the camera all emerge through a single cannula and are triangulated around the target anatomy to avoid external instrument collisions that can occur in narrow surgical workspaces.</w:t>
      </w:r>
    </w:p>
    <w:p>
      <w:pPr>
        <w:pStyle w:val="TextBody"/>
        <w:bidi w:val="0"/>
        <w:spacing w:lineRule="auto" w:line="288" w:before="0" w:after="120"/>
        <w:jc w:val="both"/>
        <w:rPr/>
      </w:pPr>
      <w:r>
        <w:rPr>
          <w:rFonts w:ascii="Times New Roman;serif" w:hAnsi="Times New Roman;serif"/>
          <w:b/>
          <w:i/>
          <w:color w:val="000000"/>
          <w:sz w:val="20"/>
        </w:rPr>
        <w:t>3DHD Vision System</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Our vision system includes a 3DHD endoscope with two independent vision channels linked to two separate color monitors through sophisticated image processing electronics and software. The resulting 3DHD image has high resolution, high contrast, low flicker, and low cross fading. A digital zoom feature in the 3DHD vision system allows surgeons to magnify the surgical field of view without adjusting the endoscope position, reducing interference between the endoscope and instruments. The 3DHD vision system is a standard, integrated feature on all of our surgical systems.</w:t>
      </w:r>
    </w:p>
    <w:p>
      <w:pPr>
        <w:pStyle w:val="TextBody"/>
        <w:bidi w:val="0"/>
        <w:spacing w:lineRule="auto" w:line="288" w:before="0" w:after="120"/>
        <w:jc w:val="both"/>
        <w:rPr/>
      </w:pPr>
      <w:r>
        <w:rPr>
          <w:rFonts w:ascii="Times New Roman;serif" w:hAnsi="Times New Roman;serif"/>
          <w:b/>
          <w:i/>
          <w:color w:val="000000"/>
          <w:sz w:val="20"/>
        </w:rPr>
        <w:t>Firefly Fluorescence Imaging (“Firefly”)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This imaging capability combines an injectable fluorescent dye with a specialized da Vinci camera head, endoscope, and laser-based illuminator to allow surgeons to identify vasculature, tissue perfusion, or biliary ducts in three dimensions beneath tissue surfaces in real-time. The most common procedural categories for the use of Firefly are urology, gynecology, and general surgery. Firefly is a standard feature of the da Vinci 5, da Vinci X, da Vinci Xi, and da Vinci SP</w:t>
      </w:r>
      <w:r>
        <w:rPr>
          <w:color w:val="000000"/>
        </w:rPr>
        <w:t xml:space="preserve"> </w:t>
      </w:r>
      <w:r>
        <w:rPr>
          <w:rFonts w:ascii="Times New Roman;serif" w:hAnsi="Times New Roman;serif"/>
          <w:b w:val="false"/>
          <w:i/>
          <w:color w:val="000000"/>
          <w:sz w:val="20"/>
        </w:rPr>
        <w:t>s</w:t>
      </w:r>
      <w:r>
        <w:rPr>
          <w:rFonts w:ascii="Times New Roman;serif" w:hAnsi="Times New Roman;serif"/>
          <w:b w:val="false"/>
          <w:color w:val="000000"/>
          <w:sz w:val="20"/>
        </w:rPr>
        <w:t>urgical systems.</w:t>
      </w:r>
    </w:p>
    <w:p>
      <w:pPr>
        <w:pStyle w:val="TextBody"/>
        <w:bidi w:val="0"/>
        <w:spacing w:lineRule="auto" w:line="288" w:before="0" w:after="120"/>
        <w:jc w:val="both"/>
        <w:rPr/>
      </w:pPr>
      <w:r>
        <w:rPr>
          <w:rFonts w:ascii="Times New Roman;serif" w:hAnsi="Times New Roman;serif"/>
          <w:b/>
          <w:i/>
          <w:color w:val="000000"/>
          <w:sz w:val="20"/>
        </w:rPr>
        <w:t>Da Vinci Integrated Table Motion</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Integrated Table Motion coordinates the movements of the da Vinci robotic arms with an advanced operating room (“OR”) table, the TS 7000dV OR Table sold by Hillrom (now a part of Baxter International Inc.). This gives OR teams the capability to dynamically change the positioning of the operating table during da Vinci surgical system procedures to manage the patient’s position in real-time while the da Vinci robotic arms remain docked. This enables surgeons to extend reach, facilitate access, and choose the angle of approach to target anatomy, as well as reposition the table during the procedure to enhance anesthesiologists’ management of the patient. Integrated Table Motion is a standard feature for da Vinci 5 surgical systems and is available as an upgrade for da Vinci Xi surgical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Ion Endoluminal System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2019, the FDA cleared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system features an ultra-thin, ultra-maneuverable catheter that can articulate 180 degrees in all directions. Ion incorporates real-time shape-sensing technology, which allows for navigation into all segments of the lung and provides the procedural stability necessary for precision in a biopsy. Many suspicious lesions found in the lung may be small and difficult to access, which can make diagnosis challenging, and Ion helps physicians obtain tissue samples from deep within the peripheral lung, which could help enable earlier diagnosis.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Instruments and Accessories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 comprehensive suite of stapling, energy, and core instrumentation for our da Vinci surgical systems. Our technology is designed to transform the surgeon’s natural hand movements outside of the body into corresponding micro-movements inside the patient’s body and operate with precision, just as they can in open surgery. With our technology, a surgeon can also use “motion scaling,” a feature that translates, for example, a three-millimeter hand movement outside the patient’s body into a one-millimeter instrument movement in the surgical field inside the patient’s body. Motion scaling is designed to allow precision and control for delicate tasks. In addition, our technology filters the tremor inherent in a surgeon’s hands.</w:t>
      </w:r>
    </w:p>
    <w:p>
      <w:pPr>
        <w:pStyle w:val="TextBody"/>
        <w:bidi w:val="0"/>
        <w:spacing w:lineRule="auto" w:line="288" w:before="0" w:after="120"/>
        <w:jc w:val="both"/>
        <w:rPr/>
      </w:pPr>
      <w:r>
        <w:rPr>
          <w:rFonts w:ascii="Times New Roman;serif" w:hAnsi="Times New Roman;serif"/>
          <w:b/>
          <w:i/>
          <w:color w:val="000000"/>
          <w:sz w:val="20"/>
        </w:rPr>
        <w:t>Da Vinci Instruments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Most of the instruments that we manufacture incorporate wristed joints for natural dexterity and tips customized for various surgical procedures. Various da Vinci instrument tips include forceps, scissors, electrocautery tools, scalpels, and other surgical tools that are familiar to the surgeon from open surgery and conventional minimally invasive surgery (“MIS”). A variety of instruments may be selected and used interchangeably during a surgery. Most instruments are sterilizable at the hospital, while others are provided sterile, and most are reusable for a defined number of procedures. A programmed memory chip inside each instrument performs several functions that help determine how the da Vinci surgical system and instruments work together. In addition, the chip generally will not allow the instrument to be used for more than the prescribed number of procedures to help ensure that its performance meets specifications during each procedure.</w:t>
      </w:r>
    </w:p>
    <w:p>
      <w:pPr>
        <w:pStyle w:val="TextBody"/>
        <w:bidi w:val="0"/>
        <w:spacing w:lineRule="auto" w:line="288" w:before="0" w:after="120"/>
        <w:jc w:val="both"/>
        <w:rPr/>
      </w:pPr>
      <w:r>
        <w:rPr>
          <w:rFonts w:ascii="Times New Roman;serif" w:hAnsi="Times New Roman;serif"/>
          <w:b/>
          <w:i/>
          <w:color w:val="000000"/>
          <w:sz w:val="20"/>
        </w:rPr>
        <w:t>Da Vinci Stapling</w:t>
      </w:r>
      <w:r>
        <w:rPr>
          <w:rFonts w:ascii="Times New Roman;serif" w:hAnsi="Times New Roman;serif"/>
          <w:b/>
          <w:color w:val="000000"/>
          <w:sz w:val="20"/>
        </w:rPr>
        <w:t xml:space="preserve">. </w:t>
      </w:r>
      <w:r>
        <w:rPr>
          <w:rFonts w:ascii="Times New Roman;serif" w:hAnsi="Times New Roman;serif"/>
          <w:b w:val="false"/>
          <w:color w:val="000000"/>
          <w:sz w:val="20"/>
        </w:rPr>
        <w:t>The SureForm and EndoWrist staplers are wristed, stapling instruments intended for resection, transection, and creation of anastomoses. These instruments enable surgeons to precisely position and fire the stapler. We have various staplers that can be used with our da Vinci 5, da Vinci X, and da Vinci Xi surgical systems: the SureForm 30, 45, and 60 staplers, where the numeric designation indicates the length of the staple line. SureForm staplers are single-use, fully wristed, stapling instruments intended</w:t>
      </w:r>
      <w:r>
        <w:rPr>
          <w:color w:val="FF0000"/>
        </w:rPr>
        <w:t xml:space="preserve"> </w:t>
      </w:r>
      <w:r>
        <w:rPr>
          <w:rFonts w:ascii="Times New Roman;serif" w:hAnsi="Times New Roman;serif"/>
          <w:b w:val="false"/>
          <w:color w:val="000000"/>
          <w:sz w:val="20"/>
        </w:rPr>
        <w:t>to be used in general, thoracic, gynecologic, urologic, and pediatric surgical procedures. The SureForm 30 stapler may deliver particular utility in thoracic procedures. The SureForm 45 stapler may receive particular use in thoracic and colorectal procedures where maneuverability and visualization are limited; we now also have a SureForm 45 stapler available for the da Vinci SP surgical system. The SureForm 60 stapler is intended to deliver particular value in bariatric procedures. Outside of the U.S. (“OUS”), we also offer the EndoWrist 30 and 45 staplers that can be used with our da Vinci X and da Vinci Xi surgical systems. The EndoWrist 30 stapler is intended to deliver particular utility with fine tissue interaction in lobectomy and other thoracic procedures. The EndoWrist 45 stapler is used in general, gynecologic, thoracic, and urologic surgical procedures. We also have various clearances for five stapler reloads: gray (2.0 mm), white (2.5 mm), blue (3.5 mm), green (4.3 mm), and black (4.6 mm). Not all reloads are available for use on all staplers. Not all staplers or reloads are available in all countries.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Additionally, we recently introduced our 8 mm SureForm 30 Curved-Tip stapler and reloads (gray, white, and blue), which were designed to help surgeons better visualize and reach anatomy through a combination of the 8 mm diameter instrument shaft and jaws, 120-degree cone of wristed articulation, and the curved tip. As it fits through the 8 mm da Vinci surgical system instrument cannula, the stapler allows different angles for surgeons to approach patient anatomy. Consistent with our other SureForm staplers, the 8 mm SureForm 30 Curved-Tip stapler integrates SmartFire technology, which makes automatic adjustments to the firing process as staples are formed and the transection is made. The technology takes more than 1,000 measurements per second, helping achieve a consistent staple line.</w:t>
      </w:r>
    </w:p>
    <w:p>
      <w:pPr>
        <w:pStyle w:val="TextBody"/>
        <w:bidi w:val="0"/>
        <w:spacing w:lineRule="auto" w:line="268" w:before="0" w:after="120"/>
        <w:jc w:val="both"/>
        <w:rPr/>
      </w:pPr>
      <w:r>
        <w:rPr>
          <w:rFonts w:ascii="Times New Roman;serif" w:hAnsi="Times New Roman;serif"/>
          <w:b/>
          <w:i/>
          <w:color w:val="000000"/>
          <w:sz w:val="20"/>
        </w:rPr>
        <w:t>Da Vinci Energy</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Our first-generation E-100 generator is offered as an upgrade to power our da Vinci Vessel Sealer Extend and SynchroSeal instruments. Additionally, we recently introduced our second-generation E-200 generator, an advanced electrosurgical generator designed to provide high-frequency energy for cutting, coagulation, and vessel sealing of tissues. The E-200 generator is integrated with the da Vinci 5 surgical system, is compatible with our da Vinci X and Xi surgical systems, and can also function as a standalone electrosurgical generator. When connected to a da Vinci surgical system, the E-200 delivers high-frequency energy to da Vinci instruments, with control and status messages communicated through an Ethernet cable. The E-200 generator is also compatible with third-party handheld monopolar and bipolar instruments, as well as fingerswitch-equipped instruments and Intuitive-provided auxiliary footswitches. The E-200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68" w:before="0" w:after="120"/>
        <w:jc w:val="both"/>
        <w:rPr>
          <w:rFonts w:ascii="Times New Roman;serif" w:hAnsi="Times New Roman;serif"/>
          <w:b w:val="false"/>
          <w:color w:val="000000"/>
          <w:sz w:val="20"/>
        </w:rPr>
      </w:pPr>
      <w:r>
        <w:rPr>
          <w:rFonts w:ascii="Times New Roman;serif" w:hAnsi="Times New Roman;serif"/>
          <w:b w:val="false"/>
          <w:color w:val="000000"/>
          <w:sz w:val="20"/>
        </w:rPr>
        <w:t>generator includes the same advanced energy capability as the E-100 generator and supports the same vessel sealing instruments.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Vessel Sealer Extend is a single-use, fully wristed, advanced bipolar instrument that is intended for grasping and blunt dissection of tissue, bipolar coagulation, and mechanical transection of vessels up to 7 mm in diameter and tissue bundles that fit in the jaws of the instrument. This instrument enables surgeons to control vessel sealing and is designed to enhance surgical efficiency and autonomy in a variety of general and gynecologic surgical procedures. It is compatible with our da Vinci 5, da Vinci X, and da Vinci Xi surgical systems.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SynchroSeal enables a surgeon to perform rapid, one-step sealing and transection with a single pedal press. SynchroSeal uses advanced bipolar energy from its raised cut electrode to transect tissue and then cool down quickly.</w:t>
      </w:r>
    </w:p>
    <w:p>
      <w:pPr>
        <w:pStyle w:val="TextBody"/>
        <w:bidi w:val="0"/>
        <w:spacing w:lineRule="auto" w:line="288" w:before="0" w:after="120"/>
        <w:jc w:val="both"/>
        <w:rPr/>
      </w:pPr>
      <w:r>
        <w:rPr>
          <w:rFonts w:ascii="Times New Roman;serif" w:hAnsi="Times New Roman;serif"/>
          <w:b/>
          <w:i/>
          <w:color w:val="000000"/>
          <w:sz w:val="20"/>
        </w:rPr>
        <w:t>Accessory Products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We sell various accessory products, which are used in conjunction with the da Vinci surgical systems. Accessory products include sterile drapes used to help ensure a sterile field during surgery, vision products, such as replacement 3D stereo endoscopes, camera heads, and light guides, and other items that facilitate the use of the da Vinci surgical systems.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Instruments and accessories are also used with our Ion endoluminal system to perform lung biopsy procedures and for the operation and maintenance of the system.</w:t>
      </w:r>
    </w:p>
    <w:p>
      <w:pPr>
        <w:pStyle w:val="TextBody"/>
        <w:bidi w:val="0"/>
        <w:spacing w:lineRule="auto" w:line="288" w:before="0" w:after="120"/>
        <w:jc w:val="both"/>
        <w:rPr/>
      </w:pPr>
      <w:r>
        <w:rPr>
          <w:rFonts w:ascii="Times New Roman;serif" w:hAnsi="Times New Roman;serif"/>
          <w:b/>
          <w:i/>
          <w:color w:val="000000"/>
          <w:sz w:val="20"/>
        </w:rPr>
        <w:t>Ion Instruments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Instruments utilized with our Ion system include our fully articulating catheter, which is employed to navigate the intricate and narrow airways of the lungs, our peripheral vision probe, an endoscope that provides real-time airway visualization for catheter navigation, and our Flexision biopsy needles, which are used to procure tissue samples from lung nodules.</w:t>
      </w:r>
    </w:p>
    <w:p>
      <w:pPr>
        <w:pStyle w:val="TextBody"/>
        <w:bidi w:val="0"/>
        <w:spacing w:lineRule="auto" w:line="288" w:before="0" w:after="120"/>
        <w:jc w:val="both"/>
        <w:rPr/>
      </w:pPr>
      <w:r>
        <w:rPr>
          <w:rFonts w:ascii="Times New Roman;serif" w:hAnsi="Times New Roman;serif"/>
          <w:b/>
          <w:i/>
          <w:color w:val="000000"/>
          <w:sz w:val="20"/>
        </w:rPr>
        <w:t>Accessory Products</w:t>
      </w:r>
      <w:r>
        <w:rPr>
          <w:rFonts w:ascii="Times New Roman;serif" w:hAnsi="Times New Roman;serif"/>
          <w:b/>
          <w:color w:val="000000"/>
          <w:sz w:val="20"/>
        </w:rPr>
        <w:t xml:space="preserve">. </w:t>
      </w:r>
      <w:r>
        <w:rPr>
          <w:rFonts w:ascii="Times New Roman;serif" w:hAnsi="Times New Roman;serif"/>
          <w:b w:val="false"/>
          <w:color w:val="000000"/>
          <w:sz w:val="20"/>
        </w:rPr>
        <w:t>Accessory products that are used in conjunction with the Ion system include cleaning tools and other ancillary equipment essential for the operation and maintenance of the Ion system.</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Learning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Intuitive provides a progressive learning journey to support the use of our technology. These training pathways leverage both learning engagements and learning technologies. Learning engagement touchpoints vary by specific pathway, skill level, and interest, while learning technologies enable and provide training directly to the customer. The portfolio of learning offerings includes role-specific training pathways, learning engagements, and learning technology.</w:t>
      </w:r>
    </w:p>
    <w:p>
      <w:pPr>
        <w:pStyle w:val="TextBody"/>
        <w:bidi w:val="0"/>
        <w:spacing w:lineRule="auto" w:line="288" w:before="0" w:after="120"/>
        <w:ind w:left="0" w:right="0" w:firstLine="360"/>
        <w:jc w:val="both"/>
        <w:rPr/>
      </w:pPr>
      <w:r>
        <w:rPr>
          <w:rFonts w:ascii="Times New Roman;serif" w:hAnsi="Times New Roman;serif"/>
          <w:b/>
          <w:i/>
          <w:color w:val="000000"/>
          <w:sz w:val="20"/>
        </w:rPr>
        <w:t>Training Pathways.</w:t>
      </w:r>
      <w:r>
        <w:rPr>
          <w:color w:val="000000"/>
        </w:rPr>
        <w:t xml:space="preserve"> </w:t>
      </w:r>
      <w:r>
        <w:rPr>
          <w:rFonts w:ascii="Times New Roman;serif" w:hAnsi="Times New Roman;serif"/>
          <w:b w:val="false"/>
          <w:color w:val="000000"/>
          <w:sz w:val="20"/>
        </w:rPr>
        <w:t>Intuitive’s training pathways provide a systematic learning journey that helps customers build technical proficiency. There are pathways for surgeons and physicians, residents and fellows, OR care teams, patient side assists, and robotic coordinators, as well as recommendations for executives.</w:t>
      </w:r>
    </w:p>
    <w:p>
      <w:pPr>
        <w:pStyle w:val="TextBody"/>
        <w:bidi w:val="0"/>
        <w:spacing w:lineRule="auto" w:line="288" w:before="0" w:after="120"/>
        <w:ind w:left="0" w:right="0" w:firstLine="360"/>
        <w:jc w:val="both"/>
        <w:rPr/>
      </w:pPr>
      <w:r>
        <w:rPr>
          <w:rFonts w:ascii="Times New Roman;serif" w:hAnsi="Times New Roman;serif"/>
          <w:b/>
          <w:i/>
          <w:color w:val="000000"/>
          <w:sz w:val="20"/>
        </w:rPr>
        <w:t>Learning Engagements.</w:t>
      </w:r>
      <w:r>
        <w:rPr>
          <w:color w:val="000000"/>
        </w:rPr>
        <w:t xml:space="preserve"> </w:t>
      </w:r>
      <w:r>
        <w:rPr>
          <w:rFonts w:ascii="Times New Roman;serif" w:hAnsi="Times New Roman;serif"/>
          <w:b w:val="false"/>
          <w:color w:val="000000"/>
          <w:sz w:val="20"/>
        </w:rPr>
        <w:t>Intuitive learning engagements are touchpoints that support customers throughout their learning journeys. They vary by pathway, skill level, and focus area. Engagements include case observations, online education, in-service training, simulation/skills training, OR care team training, technology training, reprocessing training, proctoring, advanced training, and curriculum development support. Many of these programs take place at Intuitive training centers and are taught by experienced Intuitive staff, while our advanced courses are taught by surgeon and physician instructors.</w:t>
      </w:r>
    </w:p>
    <w:p>
      <w:pPr>
        <w:pStyle w:val="TextBody"/>
        <w:bidi w:val="0"/>
        <w:spacing w:lineRule="auto" w:line="288" w:before="0" w:after="120"/>
        <w:ind w:left="0" w:right="0" w:firstLine="360"/>
        <w:jc w:val="both"/>
        <w:rPr/>
      </w:pPr>
      <w:r>
        <w:rPr>
          <w:rFonts w:ascii="Times New Roman;serif" w:hAnsi="Times New Roman;serif"/>
          <w:b/>
          <w:i/>
          <w:color w:val="000000"/>
          <w:sz w:val="20"/>
        </w:rPr>
        <w:t>Learning Technology.</w:t>
      </w:r>
      <w:r>
        <w:rPr>
          <w:color w:val="000000"/>
        </w:rPr>
        <w:t xml:space="preserve"> </w:t>
      </w:r>
      <w:r>
        <w:rPr>
          <w:rFonts w:ascii="Times New Roman;serif" w:hAnsi="Times New Roman;serif"/>
          <w:b w:val="false"/>
          <w:color w:val="000000"/>
          <w:sz w:val="20"/>
        </w:rPr>
        <w:t>Learning technologies are designed to help customers access training. Enabling technology helps bring innovative offerings to the customer. Intuitive’s enabling technologies include Telepresence and the Advanced Insights Suite (which includes Case Insights and Insights Engine). Learning technology solutions include Intuitive Learning, SimNow, customized training models, remote case observations, and remote proctoring. Two of the technology solutions most often used by customers are Intuitive Learning and SimNow.</w:t>
      </w:r>
    </w:p>
    <w:p>
      <w:pPr>
        <w:pStyle w:val="TextBody"/>
        <w:bidi w:val="0"/>
        <w:spacing w:lineRule="auto" w:line="288" w:before="0" w:after="120"/>
        <w:jc w:val="both"/>
        <w:rPr/>
      </w:pPr>
      <w:r>
        <w:rPr>
          <w:rFonts w:ascii="Times New Roman;serif" w:hAnsi="Times New Roman;serif"/>
          <w:b/>
          <w:i/>
          <w:color w:val="000000"/>
          <w:sz w:val="20"/>
        </w:rPr>
        <w:t>Intuitive Learning.</w:t>
      </w:r>
      <w:r>
        <w:rPr>
          <w:color w:val="000000"/>
        </w:rPr>
        <w:t xml:space="preserve"> </w:t>
      </w:r>
      <w:r>
        <w:rPr>
          <w:rFonts w:ascii="Times New Roman;serif" w:hAnsi="Times New Roman;serif"/>
          <w:b w:val="false"/>
          <w:color w:val="000000"/>
          <w:sz w:val="20"/>
        </w:rPr>
        <w:t>Intuitive Learning is our customer learning management system that empowers customers to complete technology and procedure education, while also being able to view, assign, and track technology and simulation learning. Intuitive Learning provides professional education for surgeons/physicians, residents/fellows, care teams, patient side assists, robotic coordinators, and sterile reprocessing staff.</w:t>
      </w:r>
    </w:p>
    <w:p>
      <w:pPr>
        <w:pStyle w:val="TextBody"/>
        <w:bidi w:val="0"/>
        <w:spacing w:lineRule="auto" w:line="288" w:before="0" w:after="120"/>
        <w:jc w:val="both"/>
        <w:rPr/>
      </w:pPr>
      <w:r>
        <w:rPr>
          <w:rFonts w:ascii="Times New Roman;serif" w:hAnsi="Times New Roman;serif"/>
          <w:b/>
          <w:i/>
          <w:color w:val="000000"/>
          <w:sz w:val="20"/>
        </w:rPr>
        <w:t xml:space="preserve">SimNow. </w:t>
      </w:r>
      <w:r>
        <w:rPr>
          <w:rFonts w:ascii="Times New Roman;serif" w:hAnsi="Times New Roman;serif"/>
          <w:b w:val="false"/>
          <w:color w:val="000000"/>
          <w:sz w:val="20"/>
        </w:rPr>
        <w:t xml:space="preserve">Our cloud-enabled SimNow simulation platform is a practice tool that gives a user the opportunity to practice their skills and gain familiarity with the surgeon console controls and supports the user’s progressive learning pathway. SimNow incorporates 3D, physics-based computer simulation technology to immerse the user within a virtual environment and provides training capabilities that have been used extensively by surgeons. The user navigates through the environment and completes exercises by controlling virtual instruments from the surgeon console. Upon completion of a skills exercise, the skills simulator provides a quantitative assessment of user performance based on a variety of task-specific metrics. The SimNow online connection drives real-time simulation performance tracking for surgeons and administrators through an online dashboard and supports remote updates of the VR content and 3DHD videos to drive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more interactive and engaging customer experience. SimNow is intended to augment, not replace, existing training programs for the da Vinci 5, da Vinci X, da Vinci Xi, and da Vinci SP surgical systems.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Services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network of field service engineers across the U.S., Canada, Europe, and Asia and maintain relationships with various distributors around the globe. This infrastructure of customer service and support specialists offers a full complement of services, including installation, repair, maintenance, 24/7 technical support, and proactive system health monitoring.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comprehensive support and program assistance helps ensure customers and care teams maximize program performance and realize the greatest value from their investment. Services include readiness support, maintenance support, perioperative consulting, Custom Hospital Analytics, and market consulting optimization.</w:t>
      </w:r>
    </w:p>
    <w:p>
      <w:pPr>
        <w:pStyle w:val="TextBody"/>
        <w:bidi w:val="0"/>
        <w:spacing w:lineRule="auto" w:line="288" w:before="0" w:after="120"/>
        <w:jc w:val="both"/>
        <w:rPr/>
      </w:pPr>
      <w:r>
        <w:rPr>
          <w:rFonts w:ascii="Times New Roman;serif" w:hAnsi="Times New Roman;serif"/>
          <w:b/>
          <w:i/>
          <w:color w:val="000000"/>
          <w:sz w:val="20"/>
        </w:rPr>
        <w:t>Readiness and Maintenance Support.</w:t>
      </w:r>
      <w:r>
        <w:rPr>
          <w:color w:val="000000"/>
        </w:rPr>
        <w:t xml:space="preserve"> </w:t>
      </w:r>
      <w:r>
        <w:rPr>
          <w:rFonts w:ascii="Times New Roman;serif" w:hAnsi="Times New Roman;serif"/>
          <w:b w:val="false"/>
          <w:color w:val="000000"/>
          <w:sz w:val="20"/>
        </w:rPr>
        <w:t xml:space="preserve">Readiness support is operational support to ensure smooth onboarding and adoption of new systems and technology. Maintenance support helps to maximize operational efficiency and reduce unplanned equipment downtime. It includes service care plans, support teams, OnSite monitoring, software upgrades and updates, as well as a customer portal.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service plan portfolio offers flexible service plans to ensure reliability of the systems and instruments and help optimize customers’ robotics programs. The support team of expert field service, remote technical support, and customer care agents both prevent and quickly resolve technology issues that could inhibit optimal system utilization. OnSite monitoring offers real-time remote service for pre-operative and intraoperative troubleshooting, as well as proactive monitoring of system performance. Software upgrades and updates enable the latest product innovations, enhancements, and reliability improvements. The customer portal is an online tool that enables customers to access system utilization and program analytics, view orders and maintenance history, and initiate product returns and exchanges to help achieve the operational and financial goals of a robotics program.</w:t>
      </w:r>
    </w:p>
    <w:p>
      <w:pPr>
        <w:pStyle w:val="TextBody"/>
        <w:bidi w:val="0"/>
        <w:spacing w:lineRule="auto" w:line="288" w:before="0" w:after="120"/>
        <w:jc w:val="both"/>
        <w:rPr/>
      </w:pPr>
      <w:r>
        <w:rPr>
          <w:rFonts w:ascii="Times New Roman;serif" w:hAnsi="Times New Roman;serif"/>
          <w:b/>
          <w:i/>
          <w:color w:val="000000"/>
          <w:sz w:val="20"/>
        </w:rPr>
        <w:t>Perioperative Consulting.</w:t>
      </w:r>
      <w:r>
        <w:rPr>
          <w:color w:val="000000"/>
        </w:rPr>
        <w:t xml:space="preserve"> </w:t>
      </w:r>
      <w:r>
        <w:rPr>
          <w:rFonts w:ascii="Times New Roman;serif" w:hAnsi="Times New Roman;serif"/>
          <w:b w:val="false"/>
          <w:color w:val="000000"/>
          <w:sz w:val="20"/>
        </w:rPr>
        <w:t>We offer a suite of customized solutions to improve a hospital’s efficiency and performance with Intuitive technologies. New system integration support is available to streamline the start-up process and expedite increased procedure volumes. Overall program assessments help to support efficiency improvements, cost reductions, and system access optimization.</w:t>
      </w:r>
    </w:p>
    <w:p>
      <w:pPr>
        <w:pStyle w:val="TextBody"/>
        <w:bidi w:val="0"/>
        <w:spacing w:lineRule="auto" w:line="288" w:before="0" w:after="120"/>
        <w:jc w:val="both"/>
        <w:rPr/>
      </w:pPr>
      <w:r>
        <w:rPr>
          <w:rFonts w:ascii="Times New Roman;serif" w:hAnsi="Times New Roman;serif"/>
          <w:b/>
          <w:i/>
          <w:color w:val="000000"/>
          <w:sz w:val="20"/>
        </w:rPr>
        <w:t>Program Analytics.</w:t>
      </w:r>
      <w:r>
        <w:rPr>
          <w:color w:val="000000"/>
        </w:rPr>
        <w:t xml:space="preserve"> </w:t>
      </w:r>
      <w:r>
        <w:rPr>
          <w:rFonts w:ascii="Times New Roman;serif" w:hAnsi="Times New Roman;serif"/>
          <w:b w:val="false"/>
          <w:color w:val="000000"/>
          <w:sz w:val="20"/>
        </w:rPr>
        <w:t>Our Custom Hospital Analytics program enables the integration of data sources so that individual health institutions can analyze their data in their own environment. Using this data, hospital and healthcare system executives, administrators, care teams, and surgeons can gain alignment around their programs based on their KPIs, determine best practices, assess gaps, and develop and implement actionable steps to address any gaps.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Digital Solutions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Integrated digital capabilities provide connected offerings, streamlining performance for hospitals with program-enhancing insights. Secure-by-design, cloud-enabled products analyze and simplify essential data to continuously optimize the use of time, tools, and techniques. Data that powers our digital solutions comes from our vast network of connected surgical systems. This network also enables Intuitive to proactively monitor product performance with high uptime reliability, as well as to provide timely software updates. Our latest da Vinci 5 surgical system incorporates an OR informatics platform that integrates multiple applications and data sets to help orchestrate medical procedure workflows and powers data insights to Intuitive customers.</w:t>
      </w:r>
    </w:p>
    <w:p>
      <w:pPr>
        <w:pStyle w:val="TextBody"/>
        <w:bidi w:val="0"/>
        <w:spacing w:lineRule="auto" w:line="288" w:before="0" w:after="120"/>
        <w:jc w:val="both"/>
        <w:rPr/>
      </w:pPr>
      <w:r>
        <w:rPr>
          <w:rFonts w:ascii="Times New Roman;serif" w:hAnsi="Times New Roman;serif"/>
          <w:b/>
          <w:i/>
          <w:color w:val="000000"/>
          <w:sz w:val="20"/>
        </w:rPr>
        <w:t>3D Modeling Services.</w:t>
      </w:r>
      <w:r>
        <w:rPr>
          <w:color w:val="000000"/>
        </w:rPr>
        <w:t xml:space="preserve"> </w:t>
      </w:r>
      <w:r>
        <w:rPr>
          <w:rFonts w:ascii="Times New Roman;serif" w:hAnsi="Times New Roman;serif"/>
          <w:b w:val="false"/>
          <w:color w:val="000000"/>
          <w:sz w:val="20"/>
        </w:rPr>
        <w:t>Intuitive 3D Models is our augmented reality imaging product for use in kidney, prostate, lung, and rectal procedures. The service extracts CT and MR scans, runs them through segmentation algorithms and, after technicians’ revision and radiologists’ review, returns a 3D segmented model of the organ for use in planning for a procedure, intraoperative visualization, and surgical education. The tool uses augmented reality to give surgeons an image with details of organ anatomy – blood vessels, tumor shape, and size – that they may not be able to see well with other two-dimensional imaging. Intuitive designed this to help with pre-operative planning and intraoperative guidance to let surgeons know where critical anatomy sits as they work through a procedure, as well as to be shared as a teaching tool for other physicians and patients. The product has recently been launched, and the first sites have been onboarded and are ordering models.</w:t>
      </w:r>
    </w:p>
    <w:p>
      <w:pPr>
        <w:pStyle w:val="TextBody"/>
        <w:bidi w:val="0"/>
        <w:spacing w:lineRule="auto" w:line="288" w:before="0" w:after="120"/>
        <w:jc w:val="both"/>
        <w:rPr/>
      </w:pPr>
      <w:r>
        <w:rPr>
          <w:rFonts w:ascii="Times New Roman;serif" w:hAnsi="Times New Roman;serif"/>
          <w:b/>
          <w:i/>
          <w:color w:val="000000"/>
          <w:sz w:val="20"/>
        </w:rPr>
        <w:t>My Intuitive.</w:t>
      </w:r>
      <w:r>
        <w:rPr>
          <w:color w:val="000000"/>
        </w:rPr>
        <w:t xml:space="preserve"> </w:t>
      </w:r>
      <w:r>
        <w:rPr>
          <w:rFonts w:ascii="Times New Roman;serif" w:hAnsi="Times New Roman;serif"/>
          <w:b w:val="false"/>
          <w:color w:val="000000"/>
          <w:sz w:val="20"/>
        </w:rPr>
        <w:t>This mobile and web application was developed to be the single point for Intuitive customers to access individual or program-level data from Intuitive. The application also offers comparisons of those insights with anonymized national benchmarks to help drive operational efficiencies and decreased costs. It enables mobile access to Intuitive’s Learning platform, case reports generated automatically for the surgeon, and an ability for surgeons to publish their practice information online for patients seeking local physicians.</w:t>
      </w:r>
    </w:p>
    <w:p>
      <w:pPr>
        <w:pStyle w:val="TextBody"/>
        <w:bidi w:val="0"/>
        <w:spacing w:lineRule="auto" w:line="288" w:before="0" w:after="120"/>
        <w:jc w:val="both"/>
        <w:rPr/>
      </w:pPr>
      <w:r>
        <w:rPr>
          <w:rFonts w:ascii="Times New Roman;serif" w:hAnsi="Times New Roman;serif"/>
          <w:b/>
          <w:i/>
          <w:color w:val="000000"/>
          <w:sz w:val="20"/>
        </w:rPr>
        <w:t>My Intuitive+.</w:t>
      </w:r>
      <w:r>
        <w:rPr>
          <w:color w:val="000000"/>
        </w:rPr>
        <w:t xml:space="preserve"> </w:t>
      </w:r>
      <w:r>
        <w:rPr>
          <w:rFonts w:ascii="Times New Roman;serif" w:hAnsi="Times New Roman;serif"/>
          <w:b w:val="false"/>
          <w:color w:val="000000"/>
          <w:sz w:val="20"/>
        </w:rPr>
        <w:t xml:space="preserve">My Intuitive+ is a digital subscription package available with the da Vinci 5 platform. It is designed to enable da Vinci users to access surgical video and data collected to objectively understand their surgical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collaborate in real time, and receive personalized training exercises. The solutions included in this package are Case Insights, Telepresence, and SimNow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Business Strategy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align our goals to those of our customers through the Quintuple Aim: enabling physicians and hospitals to deliver better patient outcomes and improve the patient and care team experience, while expanding access to care and lowering the total cost to treat per patient episode. Through the use of Intuitive’s products and services, we seek to create value for patients, physicians, and hospitals, as summarized below.</w:t>
      </w:r>
    </w:p>
    <w:p>
      <w:pPr>
        <w:pStyle w:val="TextBody"/>
        <w:bidi w:val="0"/>
        <w:spacing w:lineRule="auto" w:line="288" w:before="0" w:after="120"/>
        <w:jc w:val="both"/>
        <w:rPr/>
      </w:pPr>
      <w:r>
        <w:rPr>
          <w:rFonts w:ascii="Times New Roman;serif" w:hAnsi="Times New Roman;serif"/>
          <w:b/>
          <w:i/>
          <w:color w:val="000000"/>
          <w:sz w:val="20"/>
        </w:rPr>
        <w:t>Patient Value.</w:t>
      </w:r>
      <w:r>
        <w:rPr>
          <w:color w:val="000000"/>
        </w:rPr>
        <w:t xml:space="preserve"> </w:t>
      </w:r>
      <w:r>
        <w:rPr>
          <w:rFonts w:ascii="Times New Roman;serif" w:hAnsi="Times New Roman;serif"/>
          <w:b w:val="false"/>
          <w:color w:val="000000"/>
          <w:sz w:val="20"/>
        </w:rPr>
        <w:t xml:space="preserve">We believe that the value of a medical procedure to a patient can be defined: </w:t>
      </w:r>
      <w:r>
        <w:rPr>
          <w:rFonts w:ascii="Times New Roman;serif" w:hAnsi="Times New Roman;serif"/>
          <w:b w:val="false"/>
          <w:i/>
          <w:color w:val="000000"/>
          <w:sz w:val="20"/>
        </w:rPr>
        <w:t>Patient Value = Procedure Efficacy / Invasiveness</w:t>
      </w:r>
      <w:r>
        <w:rPr>
          <w:rFonts w:ascii="Times New Roman;serif" w:hAnsi="Times New Roman;serif"/>
          <w:b w:val="false"/>
          <w:color w:val="000000"/>
          <w:sz w:val="20"/>
        </w:rPr>
        <w:t xml:space="preserve">. We define </w:t>
      </w:r>
      <w:r>
        <w:rPr>
          <w:rFonts w:ascii="Times New Roman;serif" w:hAnsi="Times New Roman;serif"/>
          <w:b w:val="false"/>
          <w:i/>
          <w:color w:val="000000"/>
          <w:sz w:val="20"/>
        </w:rPr>
        <w:t>procedure efficacy</w:t>
      </w:r>
      <w:r>
        <w:rPr>
          <w:color w:val="000000"/>
        </w:rPr>
        <w:t xml:space="preserve"> </w:t>
      </w:r>
      <w:r>
        <w:rPr>
          <w:rFonts w:ascii="Times New Roman;serif" w:hAnsi="Times New Roman;serif"/>
          <w:b w:val="false"/>
          <w:color w:val="000000"/>
          <w:sz w:val="20"/>
        </w:rPr>
        <w:t xml:space="preserve">as a measure of the success of the procedure in helping resolve the underlying disease, and </w:t>
      </w:r>
      <w:r>
        <w:rPr>
          <w:rFonts w:ascii="Times New Roman;serif" w:hAnsi="Times New Roman;serif"/>
          <w:b w:val="false"/>
          <w:i/>
          <w:color w:val="000000"/>
          <w:sz w:val="20"/>
        </w:rPr>
        <w:t>invasiveness</w:t>
      </w:r>
      <w:r>
        <w:rPr>
          <w:color w:val="000000"/>
        </w:rPr>
        <w:t xml:space="preserve"> </w:t>
      </w:r>
      <w:r>
        <w:rPr>
          <w:rFonts w:ascii="Times New Roman;serif" w:hAnsi="Times New Roman;serif"/>
          <w:b w:val="false"/>
          <w:color w:val="000000"/>
          <w:sz w:val="20"/>
        </w:rPr>
        <w:t xml:space="preserve">as a measure of patient pain and disruption of regular activities.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Adoption of Intuitive technology occurs by procedure and by geographic market and is driven by the relative patient value and the total intervention costs of da Vinci and Ion procedures as compared to alternative options. We believe that most patients will place a higher value on procedures that are not only more efficacious but also less invasive. When the patient value of a procedure using an Intuitive product is greater than that of alternative intervention options, patients may benefit from seeking out physicians and hospitals that offer those products, which could potentially result in a local geographic shift. Our goal is to provide products to physicians who, in turn, provide patients with procedure options that are both highly effective and less invasive than others.</w:t>
      </w:r>
    </w:p>
    <w:p>
      <w:pPr>
        <w:pStyle w:val="TextBody"/>
        <w:bidi w:val="0"/>
        <w:spacing w:lineRule="auto" w:line="288" w:before="0" w:after="120"/>
        <w:jc w:val="both"/>
        <w:rPr/>
      </w:pPr>
      <w:r>
        <w:rPr>
          <w:rFonts w:ascii="Times New Roman;serif" w:hAnsi="Times New Roman;serif"/>
          <w:b/>
          <w:i/>
          <w:color w:val="000000"/>
          <w:sz w:val="20"/>
        </w:rPr>
        <w:t>Physician Value.</w:t>
      </w:r>
      <w:r>
        <w:rPr>
          <w:color w:val="000000"/>
        </w:rPr>
        <w:t xml:space="preserve"> </w:t>
      </w:r>
      <w:r>
        <w:rPr>
          <w:rFonts w:ascii="Times New Roman;serif" w:hAnsi="Times New Roman;serif"/>
          <w:b w:val="false"/>
          <w:color w:val="000000"/>
          <w:sz w:val="20"/>
        </w:rPr>
        <w:t>Intuitive products and services provide physicians with reliable and easy-to-use products that deliver superior ergonomics. We offer physicians and their operating room staff efficient and effective training on the technical use of our products as well as a global peer network of surgeon proctors and educators and advanced coursework. We help surgeons easily track and analyze their procedures and processes through the My Intuitive app to explore their data and gain insights into their program and training needs.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Moreover, Ion, for example, brings physicians an integrated bronchoscopy experience from visualizing critical lung anatomy and planning each patient’s procedure to navigating and biopsying small peripheral nodules. Results from studies have demonstrated a strong safety profile, with a relatively low occurrence of pneumothorax.</w:t>
      </w:r>
    </w:p>
    <w:p>
      <w:pPr>
        <w:pStyle w:val="TextBody"/>
        <w:bidi w:val="0"/>
        <w:spacing w:lineRule="auto" w:line="288" w:before="0" w:after="120"/>
        <w:jc w:val="both"/>
        <w:rPr/>
      </w:pPr>
      <w:r>
        <w:rPr>
          <w:rFonts w:ascii="Times New Roman;serif" w:hAnsi="Times New Roman;serif"/>
          <w:b/>
          <w:i/>
          <w:color w:val="000000"/>
          <w:sz w:val="20"/>
        </w:rPr>
        <w:t>Hospital Value.</w:t>
      </w:r>
      <w:r>
        <w:rPr>
          <w:color w:val="000000"/>
        </w:rPr>
        <w:t xml:space="preserve"> </w:t>
      </w:r>
      <w:r>
        <w:rPr>
          <w:rFonts w:ascii="Times New Roman;serif" w:hAnsi="Times New Roman;serif"/>
          <w:b w:val="false"/>
          <w:color w:val="000000"/>
          <w:sz w:val="20"/>
        </w:rPr>
        <w:t>As recognized and evidenced in many published, peer-reviewed studies, we believe that robotic-assisted surgery with the da Vinci surgical system can help hospitals build value by increasing surgical revenue and reducing costs through lower complication rates and reduced lengths of patient stay, when compared to alternative treatment options. We offer our Custom Hospital Analytics program, which enables the individual health institutions to analyze their data in their own environment. Using this data, administrators, chiefs of surgery, and physicians can gain alignment around their programs based on their own data and goals.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Clinical Applications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over 70 representative clinical uses for da Vinci surgical systems. We are the beneficiaries of productive collaborations with leading surgeons in exploring and developing new techniques and applications for robotic-assisted surgery with the da Vinci surgical system and minimally invasive biopsies with the Ion endoluminal system—an important part of our creative process. We primarily focus our development efforts on those procedures in which we believe our products bring the highest patient value, surgeon value, and hospital value. We currently focus on five surgical specialties: general surgery, urologic surgery, gynecologic surgery, cardiothoracic surgery, and head and neck surgery. Key procedures that we are focused on include cholecystectomy, hernia repair, colorectal, bariatric, upper gastrointestinal, appendectomy, prostatectomy, partial nephrectomy, hysterectomy, sacrocolpopexy, lobectomy, and transoral surgery procedures. We also focus on minimally invasive biopsies in the lung. Representative surgical applications are described below.</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Clinical Summary</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General Surgery</w:t>
      </w:r>
    </w:p>
    <w:p>
      <w:pPr>
        <w:pStyle w:val="TextBody"/>
        <w:bidi w:val="0"/>
        <w:spacing w:lineRule="auto" w:line="288" w:before="0" w:after="120"/>
        <w:jc w:val="both"/>
        <w:rPr/>
      </w:pPr>
      <w:r>
        <w:rPr>
          <w:rFonts w:ascii="Times New Roman;serif" w:hAnsi="Times New Roman;serif"/>
          <w:b w:val="false"/>
          <w:i/>
          <w:color w:val="000000"/>
          <w:sz w:val="20"/>
        </w:rPr>
        <w:t>Cholecystectomy.</w:t>
      </w:r>
      <w:r>
        <w:rPr>
          <w:color w:val="000000"/>
        </w:rPr>
        <w:t xml:space="preserve"> </w:t>
      </w:r>
      <w:r>
        <w:rPr>
          <w:rFonts w:ascii="Times New Roman;serif" w:hAnsi="Times New Roman;serif"/>
          <w:b w:val="false"/>
          <w:color w:val="000000"/>
          <w:sz w:val="20"/>
        </w:rPr>
        <w:t>Cholecystectomy, or the surgical removal of the gallbladder, is a commonly performed general surgery procedure. Cholecystectomy is the primary method for the treatment of gallstones and other gallbladder diseases. Most cholecystectomies are performed using multi-port MIS techniques, although some surgeons choose to perform cholecystectomy using manual single-port instrumentation. Firefly technology can be used to visualize biliary anatomy in three dimensions beneath the tissue surfaces during multi-port da Vinci cholecystectomies.</w:t>
      </w:r>
    </w:p>
    <w:p>
      <w:pPr>
        <w:pStyle w:val="TextBody"/>
        <w:bidi w:val="0"/>
        <w:spacing w:lineRule="auto" w:line="288" w:before="0" w:after="120"/>
        <w:jc w:val="both"/>
        <w:rPr/>
      </w:pPr>
      <w:r>
        <w:rPr>
          <w:rFonts w:ascii="Times New Roman;serif" w:hAnsi="Times New Roman;serif"/>
          <w:b w:val="false"/>
          <w:i/>
          <w:color w:val="000000"/>
          <w:sz w:val="20"/>
        </w:rPr>
        <w:t>Hernia Repair.</w:t>
      </w:r>
      <w:r>
        <w:rPr>
          <w:color w:val="000000"/>
        </w:rPr>
        <w:t xml:space="preserve"> </w:t>
      </w:r>
      <w:r>
        <w:rPr>
          <w:rFonts w:ascii="Times New Roman;serif" w:hAnsi="Times New Roman;serif"/>
          <w:b w:val="false"/>
          <w:color w:val="000000"/>
          <w:sz w:val="20"/>
        </w:rPr>
        <w:t xml:space="preserve">A hernia occurs when an organ or other tissue squeezes through a weak spot in a surrounding muscle or connective tissue. During a hernia repair surgery, the weakened tissue is secured, and defects are repaired. Common types of hernias are ventral and inguinal. Ventral, or abdominal hernia, may occur through a scar after surgery in the abdomen. Inguinal hernia is a bulge in the groin and is more common in men. Hernia repair can be performed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traditional open surgery or MIS. There is a wide range of complexity in hernia repair surgeries and varying surgeon opinions regarding optimal surgical approach. The benefits of minimally invasive and robotic-assisted hernia repair surgery vary by patient.</w:t>
      </w:r>
    </w:p>
    <w:p>
      <w:pPr>
        <w:pStyle w:val="TextBody"/>
        <w:bidi w:val="0"/>
        <w:spacing w:lineRule="auto" w:line="288" w:before="0" w:after="120"/>
        <w:jc w:val="both"/>
        <w:rPr/>
      </w:pPr>
      <w:r>
        <w:rPr>
          <w:rFonts w:ascii="Times New Roman;serif" w:hAnsi="Times New Roman;serif"/>
          <w:b w:val="false"/>
          <w:i/>
          <w:color w:val="000000"/>
          <w:sz w:val="20"/>
        </w:rPr>
        <w:t>Colorectal Surgery.</w:t>
      </w:r>
      <w:r>
        <w:rPr>
          <w:color w:val="000000"/>
        </w:rPr>
        <w:t xml:space="preserve"> </w:t>
      </w:r>
      <w:r>
        <w:rPr>
          <w:rFonts w:ascii="Times New Roman;serif" w:hAnsi="Times New Roman;serif"/>
          <w:b w:val="false"/>
          <w:color w:val="000000"/>
          <w:sz w:val="20"/>
        </w:rPr>
        <w:t>These procedures typically involve benign or cancerous conditions of the lower digestive system, in particular the rectum or colon. Common procedures in this area include hemicolectomy, sigmoidectomy, low anterior resection, and abdominoperineal resection. Surgeons have reported that the use of robotic-assisted surgery with a da Vinci surgical system and our latest technologies, such as the SureForm stapler and da Vinci energy products, has enabled them to offer MIS approaches to a broader range of colorectal surgery patients.</w:t>
      </w:r>
    </w:p>
    <w:p>
      <w:pPr>
        <w:pStyle w:val="TextBody"/>
        <w:bidi w:val="0"/>
        <w:spacing w:lineRule="auto" w:line="288" w:before="0" w:after="120"/>
        <w:jc w:val="both"/>
        <w:rPr/>
      </w:pPr>
      <w:r>
        <w:rPr>
          <w:rFonts w:ascii="Times New Roman;serif" w:hAnsi="Times New Roman;serif"/>
          <w:b w:val="false"/>
          <w:i/>
          <w:color w:val="000000"/>
          <w:sz w:val="20"/>
        </w:rPr>
        <w:t>Bariatric Surgery</w:t>
      </w:r>
      <w:r>
        <w:rPr>
          <w:rFonts w:ascii="Times New Roman;serif" w:hAnsi="Times New Roman;serif"/>
          <w:b w:val="false"/>
          <w:color w:val="000000"/>
          <w:sz w:val="20"/>
        </w:rPr>
        <w:t>.  A body of literature points to the benefit of surgery to treat patients with morbid obesity and its secondary effects, such as diabetes. Sleeve gastrectomy and Roux-en-Y gastric bypass (“RYGB”) are commonly performed surgical procedures for morbid obesity in the U.S. The body habitus of morbidly obese patients can make laparoscopic surgery physically challenging for the surgeon, and certain surgeons have found value in using the da Vinci surgical system to improve upon the ergonomics when performing MIS in morbidly obese patients. In addition, RYGB can be a technically challenging procedure due to the suturing, stapling, and tissue (bowel) manipulation that is required. Surgeons using the da Vinci surgical system have reported a reduction in a critical complication (anastomotic leaks) relative to laparoscopic RYGB. Also, we believe SureForm 60 may have particular utility in bariatric procedures.</w:t>
      </w:r>
    </w:p>
    <w:p>
      <w:pPr>
        <w:pStyle w:val="TextBody"/>
        <w:bidi w:val="0"/>
        <w:spacing w:lineRule="auto" w:line="288" w:before="0" w:after="120"/>
        <w:jc w:val="both"/>
        <w:rPr/>
      </w:pPr>
      <w:r>
        <w:rPr>
          <w:rFonts w:ascii="Times New Roman;serif" w:hAnsi="Times New Roman;serif"/>
          <w:b w:val="false"/>
          <w:i/>
          <w:color w:val="000000"/>
          <w:sz w:val="20"/>
        </w:rPr>
        <w:t xml:space="preserve">Upper Gastrointestinal (GI). </w:t>
      </w:r>
      <w:r>
        <w:rPr>
          <w:rFonts w:ascii="Times New Roman;serif" w:hAnsi="Times New Roman;serif"/>
          <w:b w:val="false"/>
          <w:color w:val="000000"/>
          <w:sz w:val="20"/>
        </w:rPr>
        <w:t>Upper GI surgery treats conditions affecting the upper part of the digestive system, such as stomach ulcers, esophageal strictures, hiatal hernias, and various cancers. Common procedures includes gastrectomy, hiatal hernia repair, and Nissen fundoplication to treat severe gastroesophogeal reflux disease. Da Vinci surgical systems allow surgeons to reach and operate in constricted areas of the abdomen that can be difficult to reach. Thousands of peer-reviewed articles have demonstrated favorable perioperative outcomes.</w:t>
      </w:r>
    </w:p>
    <w:p>
      <w:pPr>
        <w:pStyle w:val="TextBody"/>
        <w:bidi w:val="0"/>
        <w:spacing w:lineRule="auto" w:line="288" w:before="0" w:after="120"/>
        <w:jc w:val="both"/>
        <w:rPr/>
      </w:pPr>
      <w:r>
        <w:rPr>
          <w:rFonts w:ascii="Times New Roman;serif" w:hAnsi="Times New Roman;serif"/>
          <w:b w:val="false"/>
          <w:i/>
          <w:color w:val="000000"/>
          <w:sz w:val="20"/>
        </w:rPr>
        <w:t xml:space="preserve">Appendectomy. </w:t>
      </w:r>
      <w:r>
        <w:rPr>
          <w:rFonts w:ascii="Times New Roman;serif" w:hAnsi="Times New Roman;serif"/>
          <w:b w:val="false"/>
          <w:color w:val="000000"/>
          <w:sz w:val="20"/>
        </w:rPr>
        <w:t>An appendectomy is the surgical removal of the appendix, most commonly performed to treat appendicitis, which, if left untreated, can rupture and lead to a life-threatening infection. Use of the da Vinci surgical system for appendectomy procedures has shown to result in shorter length of stay and fewer conversions as compared to a laparoscopic approach. In addition, SureForm 30, as well as our advanced energy products, may have particular utility in appendectomy.</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Urologic Surgery</w:t>
      </w:r>
    </w:p>
    <w:p>
      <w:pPr>
        <w:pStyle w:val="TextBody"/>
        <w:bidi w:val="0"/>
        <w:spacing w:lineRule="auto" w:line="288" w:before="0" w:after="120"/>
        <w:jc w:val="both"/>
        <w:rPr/>
      </w:pPr>
      <w:r>
        <w:rPr>
          <w:rFonts w:ascii="Times New Roman;serif" w:hAnsi="Times New Roman;serif"/>
          <w:b w:val="false"/>
          <w:i/>
          <w:color w:val="000000"/>
          <w:sz w:val="20"/>
        </w:rPr>
        <w:t>Prostatectomy</w:t>
      </w:r>
      <w:r>
        <w:rPr>
          <w:rFonts w:ascii="Times New Roman;serif" w:hAnsi="Times New Roman;serif"/>
          <w:b w:val="false"/>
          <w:color w:val="000000"/>
          <w:sz w:val="20"/>
        </w:rPr>
        <w:t>. Radical prostatectomy is the removal of the prostate gland in patients diagnosed with clinically localized prostate cancer. The standard approach to the removal of the prostate was via an open surgical procedure. The conventional laparoscopic approach is an option, but it is difficult and poses challenges to even the most skilled urologist. The da Vinci surgical system has enabled a large number of surgeons to convert from using an open surgical technique to a minimally invasive technique.</w:t>
      </w:r>
    </w:p>
    <w:p>
      <w:pPr>
        <w:pStyle w:val="TextBody"/>
        <w:bidi w:val="0"/>
        <w:spacing w:lineRule="auto" w:line="288" w:before="0" w:after="120"/>
        <w:jc w:val="both"/>
        <w:rPr/>
      </w:pPr>
      <w:r>
        <w:rPr>
          <w:rFonts w:ascii="Times New Roman;serif" w:hAnsi="Times New Roman;serif"/>
          <w:b w:val="false"/>
          <w:i/>
          <w:color w:val="000000"/>
          <w:sz w:val="20"/>
        </w:rPr>
        <w:t>Partial Nephrectomy.</w:t>
      </w:r>
      <w:r>
        <w:rPr>
          <w:color w:val="000000"/>
        </w:rPr>
        <w:t xml:space="preserve"> </w:t>
      </w:r>
      <w:r>
        <w:rPr>
          <w:rFonts w:ascii="Times New Roman;serif" w:hAnsi="Times New Roman;serif"/>
          <w:b w:val="false"/>
          <w:color w:val="000000"/>
          <w:sz w:val="20"/>
        </w:rPr>
        <w:t>Partial nephrectomy is the removal of a small portion of a kidney (typically, an area of the kidney containing a tumor). Partial nephrectomies are most commonly performed in patients diagnosed with clinically localized renal cancer. Excluding robotic-assisted surgery with a da Vinci surgical system, there are three common surgical approaches to performing partial nephrectomies: open surgical technique, laparoscopy, and hand-assisted laparoscopy, which is a hybrid of the open and laparoscopic techniques. Surgeons have reported that the da Vinci surgical system’s capabilities may enable a large number of these procedures to be performed through a minimally invasive technique, conferring the benefits of MIS to a broader range of partial nephrectomy patients. Treatment guidelines for patients with localized renal cancer recommend partial nephrectomy due to the benefits that nephron-sparing surgery has in long-term patient outcomes. Published clinical literature has shown that the presence of a da Vinci surgical system is associated with a higher-proportion of patients receiving a guideline-recommended partial nephrectomy.</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Gynecologic Surgery</w:t>
      </w:r>
    </w:p>
    <w:p>
      <w:pPr>
        <w:pStyle w:val="TextBody"/>
        <w:bidi w:val="0"/>
        <w:spacing w:lineRule="auto" w:line="288" w:before="0" w:after="120"/>
        <w:jc w:val="both"/>
        <w:rPr/>
      </w:pPr>
      <w:r>
        <w:rPr>
          <w:rFonts w:ascii="Times New Roman;serif" w:hAnsi="Times New Roman;serif"/>
          <w:b w:val="false"/>
          <w:i/>
          <w:color w:val="000000"/>
          <w:sz w:val="20"/>
        </w:rPr>
        <w:t>Hysterectomy.</w:t>
      </w:r>
      <w:r>
        <w:rPr>
          <w:color w:val="000000"/>
        </w:rPr>
        <w:t xml:space="preserve"> </w:t>
      </w:r>
      <w:r>
        <w:rPr>
          <w:rFonts w:ascii="Times New Roman;serif" w:hAnsi="Times New Roman;serif"/>
          <w:b w:val="false"/>
          <w:color w:val="000000"/>
          <w:sz w:val="20"/>
        </w:rPr>
        <w:t>Removal of the uterus is one of the most commonly performed surgeries in gynecology and is performed for a variety of underlying benign and cancerous conditions. Hysterectomies can be performed using open surgery (laparotomy) or MIS techniques, which include vaginal, laparoscopic, and robotic-assisted approaches. Prior to the clearance of the da Vinci surgical system for use in gynecological procedures in 2005, the majority of hysterectomies performed were open surgeries. We believe that robotic-assisted surgery with the da Vinci surgical system provides patients the opportunity to receive a minimally invasive treatment as an alternative to an open hysterectomy.</w:t>
      </w:r>
    </w:p>
    <w:p>
      <w:pPr>
        <w:pStyle w:val="TextBody"/>
        <w:bidi w:val="0"/>
        <w:spacing w:lineRule="auto" w:line="288" w:before="0" w:after="120"/>
        <w:jc w:val="both"/>
        <w:rPr/>
      </w:pPr>
      <w:r>
        <w:rPr>
          <w:rFonts w:ascii="Times New Roman;serif" w:hAnsi="Times New Roman;serif"/>
          <w:b w:val="false"/>
          <w:i/>
          <w:color w:val="000000"/>
          <w:sz w:val="20"/>
        </w:rPr>
        <w:t>Sacrocolpopexy.</w:t>
      </w:r>
      <w:r>
        <w:rPr>
          <w:color w:val="000000"/>
        </w:rPr>
        <w:t xml:space="preserve"> </w:t>
      </w:r>
      <w:r>
        <w:rPr>
          <w:rFonts w:ascii="Times New Roman;serif" w:hAnsi="Times New Roman;serif"/>
          <w:b w:val="false"/>
          <w:color w:val="000000"/>
          <w:sz w:val="20"/>
        </w:rPr>
        <w:t xml:space="preserve">The abdominal (open) sacrocolpopexy is one of the operations performed to treat vaginal vault prolapse. Sacrocolpopexy involves suturing a synthetic mesh that connects and supports the vagina to the sacrum (tailbone). A sacrocolpopexy can be performed using a conventional laparoscopic technique; however, it is generally described as difficult and cumbersome to perform. Surgeons have reported that the da Vinci surgical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capabilities may enable a larger number of these procedures to be performed through a minimally invasive technique, conferring the benefits of MIS to a broader range of sacrocolpopexy patients.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Cardiothoracic Surgery</w:t>
      </w:r>
    </w:p>
    <w:p>
      <w:pPr>
        <w:pStyle w:val="TextBody"/>
        <w:bidi w:val="0"/>
        <w:spacing w:lineRule="auto" w:line="288" w:before="0" w:after="120"/>
        <w:jc w:val="both"/>
        <w:rPr/>
      </w:pPr>
      <w:r>
        <w:rPr>
          <w:rFonts w:ascii="Times New Roman;serif" w:hAnsi="Times New Roman;serif"/>
          <w:b w:val="false"/>
          <w:i/>
          <w:color w:val="000000"/>
          <w:sz w:val="20"/>
        </w:rPr>
        <w:t>Thoracic Surgery.</w:t>
      </w:r>
      <w:r>
        <w:rPr>
          <w:color w:val="000000"/>
        </w:rPr>
        <w:t xml:space="preserve"> </w:t>
      </w:r>
      <w:r>
        <w:rPr>
          <w:rFonts w:ascii="Times New Roman;serif" w:hAnsi="Times New Roman;serif"/>
          <w:b w:val="false"/>
          <w:color w:val="000000"/>
          <w:sz w:val="20"/>
        </w:rPr>
        <w:t>Conventional approaches to surgical procedures in the thorax include both open and video-assisted thoracoscopic approaches. Procedures performed via these methods include pulmonary wedge resection, pulmonary lobectomy, thymectomy, mediastinal mass excision, and esophagectomy. Many thoracic procedures remain open procedures. Surgeons have reported that the use of robotic-assisted surgery with a da Vinci surgical system in thoracic surgery has enabled them to offer MIS approaches to a broader range of thoracic surgery patients and improved clinical outcomes compared to open and video-assisted thoracic surgery in published single-center, multi-center, and national database clinical studies. Also, we believe the EndoWrist 30 stapler and the SureForm 30 stapler may have particular utility in thoracic procedures.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Head and Neck Surgery</w:t>
      </w:r>
    </w:p>
    <w:p>
      <w:pPr>
        <w:pStyle w:val="TextBody"/>
        <w:bidi w:val="0"/>
        <w:spacing w:lineRule="auto" w:line="288" w:before="0" w:after="120"/>
        <w:jc w:val="both"/>
        <w:rPr/>
      </w:pPr>
      <w:r>
        <w:rPr>
          <w:rFonts w:ascii="Times New Roman;serif" w:hAnsi="Times New Roman;serif"/>
          <w:b w:val="false"/>
          <w:i/>
          <w:color w:val="000000"/>
          <w:sz w:val="20"/>
        </w:rPr>
        <w:t>Transoral Surgery.</w:t>
      </w:r>
      <w:r>
        <w:rPr>
          <w:color w:val="000000"/>
        </w:rPr>
        <w:t xml:space="preserve"> </w:t>
      </w:r>
      <w:r>
        <w:rPr>
          <w:rFonts w:ascii="Times New Roman;serif" w:hAnsi="Times New Roman;serif"/>
          <w:b w:val="false"/>
          <w:color w:val="000000"/>
          <w:sz w:val="20"/>
        </w:rPr>
        <w:t>Head and neck cancers are typically treated by either surgical resection or chemo-radiation, or a combination of both. Surgical resection performed by an open approach may require a “jaw-splitting” mandibulotomy. This procedure, while effective in treating cancer, is potentially traumatic and disfiguring to the patient. MIS approaches via the mouth (transoral surgery) are challenged by line-of-sight limitations dictated by conventional endoscopic tools. Chemo-radiation as a primary therapy does allow patients to avoid traumatic surgical incisions; however, the literature suggests that this modality diminishes patients’ ability to speak and swallow normally. Surgeons have reported that da Vinci transoral surgery allows them to operate on tumors occurring in the oropharynx (i.e., tonsil and base of tongue) and larynx via the mouth and to overcome some of the line-of-sight limitations of conventional transoral surgery.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there are numerous additional applications that can be addressed with the da Vinci surgical system, and we work closely with our surgeon customers to refine and explore new applications that can bring value to patients, surgeons, and hospitals.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Da Vinci Procedure Mix</w:t>
      </w:r>
    </w:p>
    <w:p>
      <w:pPr>
        <w:pStyle w:val="TextBody"/>
        <w:bidi w:val="0"/>
        <w:spacing w:lineRule="auto" w:line="288" w:before="0" w:after="120"/>
        <w:ind w:left="0" w:right="0" w:firstLine="360"/>
        <w:jc w:val="both"/>
        <w:rPr/>
      </w:pPr>
      <w:r>
        <w:rPr>
          <w:rFonts w:ascii="Times New Roman;serif" w:hAnsi="Times New Roman;serif"/>
          <w:b w:val="false"/>
          <w:color w:val="000000"/>
          <w:sz w:val="20"/>
        </w:rPr>
        <w:t>Our da Vinci procedure business is broadly split into two categories: (1) cancer procedures and (2)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 5 and da Vinci</w:t>
      </w:r>
      <w:r>
        <w:rPr>
          <w:color w:val="000000"/>
        </w:rPr>
        <w:t xml:space="preserve"> </w:t>
      </w:r>
      <w:r>
        <w:rPr>
          <w:rFonts w:ascii="Times New Roman;serif" w:hAnsi="Times New Roman;serif"/>
          <w:b w:val="false"/>
          <w:color w:val="000000"/>
          <w:sz w:val="20"/>
        </w:rPr>
        <w:t>Xi</w:t>
      </w:r>
      <w:r>
        <w:rPr>
          <w:color w:val="000000"/>
        </w:rPr>
        <w:t xml:space="preserve"> </w:t>
      </w:r>
      <w:r>
        <w:rPr>
          <w:rFonts w:ascii="Times New Roman;serif" w:hAnsi="Times New Roman;serif"/>
          <w:b w:val="false"/>
          <w:color w:val="000000"/>
          <w:sz w:val="20"/>
        </w:rPr>
        <w:t>surgical systems with advanced instruments (including the da Vinci energy and da Vinci stapler products) and our Integrated Table Motion product target the more complex procedure segment. Our da Vinci X surgical system is targeted toward price-sensitive customers and procedures. Our da Vinci SP surgical system complements our da Vinci 5, da Vinci X, and Xi surgical systems by enabling surgeons to access narrow workspaces.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Sales and Customer Support</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Sales Model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our products and services through direct sales organizations in the U.S., Europe (excluding Italy, Spain, Portugal, Greece, and Eastern European countries), China (through our majority-owned joint ventures, Intuitive Surgical-Fosun Medical Technology (Shanghai) Co., Ltd. and Intuitive Surgical-Fosun (HongKong) Co. Ltd. (collectively, the “Joint Venture”), with Fosun Pharma), Japan, South Korea, India, Taiwan, and Canada. In the U.S. (for some government customers), China, and Japan, we also utilize certain distributors in addition to our direct sales organization. In the remainder of our OUS markets, we provide our products for sale through distributors. See “Item 7. Management’s Discussion and Analysis of Financial Condition and Results of Operations” for further details on the Joint Venture. During the years ended December 31, 2025, 2024, and 2023, domestic revenue accounted for 68%, 67%, and 66%, respectively, of total revenue, while revenue from our OUS markets accounted for 32%, 33%, and 34%, respectively, of total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direct sales organization is composed of a capital sales team, responsible for selling systems, and a clinical sales team, responsible for supporting the systems used in procedures performed at our hospital accounts. Our hospital accounts include both individual hospitals and healthcare facilities as well as hospitals and healthcare facilities that are part of an integrated delivery network (“IDN groups”). The initial system sale into an account is a major capital equipment purchase by our customers and typically has a lengthy sales cycle that can be affected by macroeconomic factors, capital spending prioritization, the timing of budgeting cycles, and the evaluation of alternative products. Capital sales activities include educating surgeons or physicians and hospital staff across multiple specialties on the benefits of robotic-assisted surgery with a da Vinci surgical system or robotic-assisted bronchoscopy with an Ion endoluminal system, total treatment costs, and the clinical applications that our technology enables. We also train our sales organization to educate hospital management on the potential benefits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adopting our technology, including the clinical benefits of robotic-assisted surgery with a da Vinci surgical system or robotic-assisted bronchoscopy with an Ion endoluminal system, in support of their Quintuple Aim objectives.</w:t>
      </w:r>
    </w:p>
    <w:p>
      <w:pPr>
        <w:pStyle w:val="TextBody"/>
        <w:bidi w:val="0"/>
        <w:spacing w:lineRule="auto" w:line="288" w:before="0" w:after="120"/>
        <w:ind w:left="0" w:right="0" w:firstLine="360"/>
        <w:jc w:val="both"/>
        <w:rPr/>
      </w:pPr>
      <w:r>
        <w:rPr>
          <w:rFonts w:ascii="Times New Roman;serif" w:hAnsi="Times New Roman;serif"/>
          <w:b w:val="false"/>
          <w:color w:val="000000"/>
          <w:sz w:val="20"/>
        </w:rPr>
        <w:t>Our clinical sales team works on site at hospitals, interacting with surgeons or physicians, operating room staff, and hospital administrators to develop and sustain successful robotic-assisted surgery or bronchoscopy programs. They assist the hospital in identifying surgeons or physicians who have an interest in robotic-assisted surgery or bronchoscopy and the potential</w:t>
      </w:r>
      <w:r>
        <w:rPr>
          <w:color w:val="000000"/>
        </w:rPr>
        <w:t xml:space="preserve"> </w:t>
      </w:r>
      <w:r>
        <w:rPr>
          <w:rFonts w:ascii="Times New Roman;serif" w:hAnsi="Times New Roman;serif"/>
          <w:b w:val="false"/>
          <w:color w:val="000000"/>
          <w:sz w:val="20"/>
        </w:rPr>
        <w:t>benefits provided by the da Vinci surgical system and the Ion endoluminal system. Our clinical sales team provides current clinical information on robotic-assisted surgery or bronchoscopy practices and new product applications to the hospital teams. Our clinical sales team has grown with the expanded installed bases of da Vinci surgical systems and Ion endoluminal systems as well as the total number of procedures performed. We expect this organization to continue to grow as our business expands.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place orders to replenish their supplies of instruments and accessories on a regular basis. Orders received are typically shipped within one business day. New direct customers who purchase a system typically place an initial stocking order of instruments and accessories soon after they receive their system.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seasonal fluctuations. Historically, placements of our da Vinci surgical systems have tended to be heavier in the fourth quarter and lighter in the first quarter, as hospital budgets are reset. In addition, we have historically experienced lower procedure volume in the first and third quarters and higher procedure volume in the second and fourth quarters. More than half of da Vinci procedures performed are for benign conditions. These benign procedures and other short-term elective procedures tend to be more seasonal than cancer procedures and surgeries for other life-threatening conditions. In the U.S., volumes for procedures associated with benign conditions are typically seasonally higher in the fourth quarter when more patients have met annual deductibles and lower in the first quarter when deductibles are reset. Seasonality outside of the U.S. varies and is more pronounced around local holidays and vacation periods, which have lower procedure volume. The timing of procedures and changes in procedure volume impact the timing of instruments and accessories and capital purchases.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Customer Support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network of field service and technical support engineers across the U.S., Canada, Europe, and Asia and maintain relationships with various distributors around the globe. This infrastructure of customer service and support specialists, along with advanced service tools and solutions, offers a full complement of services, including installation, repair, maintenance, 24/7 technical support, and proactive system health monitoring. We generate service revenue by providing these services to our customers through comprehensive service contracts and time and material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focus our research and development efforts on innovation and improvement for products and services that align with our mission: We believe that minimally invasive care is life-enhancing care. Through ingenuity and intelligent technology, we believe that we can expand the potential of physicians to heal without constraints. We employ engineering and research and development staff to focus on delivering future innovations and sustaining improvements that advance our mission. In certain instances, we complement our research and development effort through collaborations with other companies, such as our Integrated Table Motion product offering developed with Hillrom (now a part of Baxter International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manufacture our systems at our facilities in Sunnyvale, California, and Peachtree Corners, Georgia, as well as at our Joint Venture’s facility in Shanghai, China. Our instruments and accessories are produced at our facilities in Sunnyvale, California, and Mexicali, Mexico. Additionally, we have Ion-related manufacturing in Blacksburg, Virginia, and endoscope-related manufacturing in Parvomay, Bulgaria and at multiple sites in Germany.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purchase both custom and off-the-shelf components from a large number of suppliers and subject them to stringent quality specifications and processes. Some of the components necessary for the assembly of our products are currently provided to us by sole-sourced suppliers (the only recognized supply source available to us) or single-sourced suppliers (the only approved supply source for us among other sources). We purchase the majority of our components and major assemblies through purchase orders rather than long-term supply agreements and generally do not maintain large volumes of finished goods relative to our anticipated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face competition in the forms of existing open surgery, conventional MIS (laparoscopy), drug therapies, radiation treatment, and other emerging diagnostic and interventional surgical approaches. Some of these procedures are widely accepted in the medical community and, in many cases, have a long history of use. Our success depends on continued clinical and technical innovation, quality, and reliability, as well as educating hospitals, surgeons, and patients on the demonstrated results associated with robotic-assisted medical procedures using da Vinci surgical systems or Ion endoluminal systems and their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relative to other techniques. We also face competition from several companies that have introduced or are developing new approaches and MIS products. We believe that the entrance or emergence of competition validates MIS and robotic-assisted surgery or robotic-assisted bronchoscopy.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as we add new robotically controlled products (e.g., da Vinci stapling and da Vinci energy products) that compete with product offerings traditionally within the domains of open surgery and/or conventional MIS, we face greater competition from larger and well-established companies, such as Johnson &amp; Johnson and Medtronic plc.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currently face, or anticipate facing, competition from companies with products used in open or MIS surgeries, including laparoscopy and alternative multi-port, single-port, or endoluminal systems. We also compete with companies providing other therapeutic approaches for addressing target clinical conditions, as well as companies developing diagnostic solutions that could serve as alternatives to current or planned Intuitive offerings. Companies that have introduced products in the field of robotic-assisted medical procedures, or have made explicit statements about their efforts to enter the field, include, but are not limited to, the following: Beijing Surgerii Robotics Company Limited; CMR Surgical Ltd.; Distalmotion SA; Harbin Sizhe Rui Intelligent Medical Equipment Co., Ltd.; Johnson &amp; Johnson; Karl Storz SE &amp; Co. KG; Medicaroid Corporation; Medtronic plc; meerecompany Inc.; Noah Medical Corporation; Shandong Weigao Group Medical Polymer Company Ltd.; Shanghai Microport Medbot (Group) Co., Ltd.; Shenzhen Edge Medical Co., Ltd.; and SS Innovations International, Inc. Other companies with substantial experience in industrial robotics could potentially expand into the field of medical robotics and become competitors. Additionally, we expect increasing competition within China for robotic-assisted systems. Our revenues may be reduced due to pricing pressure if our competitors develop and market products that are more effective or less expensive than our products. In addition, research efforts utilizing computers and robotics for medical procedures are underway at various companies and research institutions. Our revenues may be adversely impacted as our competitors announce their intent to enter our geographic markets and as our customers anticipate the availability of competing products. We may not be able to maintain or improve our competitive position against current or potential competitors, especially those with greater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place considerable importance on obtaining and maintaining patent, copyright, trademark, and trade secret protection for significant new technologies, products, and processes.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rely upon a combination of intellectual property laws, confidentiality procedures, and contractual provisions to protect our proprietary technology. For example, we have trademarks, both registered and unregistered, that provide distinctive identification of our products in the marketplace. We also have exclusive and non-exclusive patent licenses with various third parties to supplement our own robust patent portfolio.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owned more than 5,600 patents granted and still in force and more than 2,500 patents pending worldwide. We intend to continue filing new patent applications in the U.S. and foreign jurisdictions to seek protection for our technology. Patents have finite terms. The expiration of a patent ends the exclusive rights accorded by the patent for the invention claimed.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operations are subject to regulation in the U.S. by the FDA and the State of California as well as by other countries and regions in which we market and promote our products. In addition, our products must meet the requirements of a large and growing body of international regulations and standards, which govern the design, manufacture, materials content and sourcing, testing, certification, packaging, installation, use, and disposal of our products. We must continually keep abreast of these regulations, standards, and requirements and integrate our compliance into the development and regulatory documentation for our products. Failure to meet these requirements could limit our ability to market our products in those regions that require compliance with such regulations and standards. Examples of standards to which we are subject include electrical safety standards, such as those of the International Electrotechnical Commission (e.g., IEC 60601-ss series of standards), and composition regulations, such as the Reduction of Hazardous Substances (“RoHS”) and the Waste Electrical and Electronic Equipment (“WEEE”) Directives applicable in the European Union (“EU”), among others.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U.S. Regulation</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FDA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are subject to regulation as medical devices in the United States under the Federal Food, Drug, and Cosmetic Act (“FFDCA”), as implemented and enforced by the FDA. The FDA regulates the development, design, non-clinical and clinical research, manufacturing, safety, efficacy, labeling, packaging, storage, installation, recordkeeping, complaint and adverse event reporting, clearance, approval, certification, promotion, marketing, export, import distribution, and service of medical devices in the U.S. to ensure that medical devices distributed domestically are safe and effective for their intended 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FFDCA, medical devices are classified into one of three classes—Class I, Class II, or Class III—depending on the degree of risk associated with each medical device and the extent of control needed to ensure safety and effectiveness. Our current products are Class II medical devices.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Class II medical devices are those that are subject to general controls, and most require premarket demonstration of adherence to certain performance standards or other special controls, as specified by the FDA, and special controls as deemed necessary by the FDA to ensure the safety and effectiveness of the device. These special controls can include performance standards, post-market surveillance, patient registries, and FDA guidance documents.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Manufacturers of most Class II devices are required to submit to the FDA a premarket notification under Section 510(k) of the FFDCA requesting authorization to commercially distribute the device. The FDA’s authorization to commercially distribute a device subject to a 510(k) premarket notification is generally known as 510(k) clearance. Our current products are subject to premarket notification and clearance under section 510(k) of the FFDCA. To obtain 510(k) clearance, we must submit to the FDA a premarket notification submission demonstrating that the proposed device is “substantially equivalent” to a legally marketed predicate device.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may require additional information, including clinical data, to make a determination regarding substantial equivalence. In addition, the FDA collects user fees for certain medical device submissions and annual fees for medical device establishments.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If the FDA agrees that the device is substantially equivalent to a predicate device, it will grant clearance to commercially market the device in the U.S. The FDA has a statutory 90-day period to respond to a 510(k) submission; however, as a practical matter, clearance often takes longer. The FDA may require further information, including clinical data, to make a determination regarding substantial equivalence. If the FDA determines that the device, or its intended use, is not “substantially equivalent,” the device may be designated as a Class III device. The device sponsor must then fulfill more rigorous PMA requirements or can request a risk-based classification determination for the device in accordance with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pathway, which is a route to market for novel medical devices that are low to moderate risk and are not substantially equivalent to a predicate device.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FDA, by statute and regulation, has 180 days to review a PMA application, although the review more often occurs over a significantly longer period of time and can take up to several years. In approving a PMA application or clearing a 510(k) submission, the FDA may also require some additional manufacturing controls, design control activities and approvals, as well as specific post-market surveillance requirements when necessary to protect the public health or to provide additional safety and effectiveness data for the device. In such cases, the manufacturer might be required to follow certain patient groups for a number of years and make periodic reports to the FDA on the clinical status of those patients.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Clinical trials are almost always required to support a PMA or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request and are sometimes required to support a 510(k) submission. All clinical investigations designed to determine the safety and effectiveness of a medical device must be conducted in accordance with the FDA’s investigational device exemption (“IDE”) regulations, which govern investigational device labeling, prohibit the promotion of the investigational device, and specify an array of recordkeeping, reporting and monitoring responsibilities of study sponsors and study investigators. Regardless of the degree of risk presented by the medical device, clinical studies must be approved by, and conducted under the oversight of, an Institutional Review Board (“IRB”) for each clinical site. 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the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The FDA requires each manufacturer to determine whether a proposed change requires submission of a 510(k),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or a PMA or PMA supplement in the first instance, but the FDA can review any such decision and disagree with a manufacturer’s determination. If the FDA disagrees with a manufacturer’s determination, the FDA can require the manufacturer to cease marketing and/or request the recall of the modified device until it receives the appropriate marketing authorization. Also, in these circumstances, the manufacturer may be subject to significant regulatory fines or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FDA may place significant limitations upon the intended use of our products as a condition of granting marketing authorization. Moreover, after a device is placed on the market, numerous FDA and other regulatory requirements continue to apply. These requirements include establishment registration and device listing with the FDA; compliance with medical device reporting regulations, which require that manufacturers report to the FDA if their device caused or contributed, or may have caused or contributed, to a death or serious injury or malfunctioned in a way that would likely cause or contribute to a death or serious injury if it were to recur; compliance with corrections and removal reporting regulations, which require that manufacturers report to the FDA field corrections and product recalls or removals if undertaken to reduce a risk to health posed by the device or to remedy a violation of the FFDCA that may present a risk to health; the FDA’s recall authority, whereby the agency can order device manufacturers to recall from the market a product that is in violation of governing laws and regulations; and post-market surveillance activities and regulations, which apply when deemed by the FDA to be necessary to protect the public health or to provide additional safety and effectiveness data for the device. In addition, the FDA and the Federal Trade Commission also regulate the advertising and promotion of our products to ensure that the claims we make are consistent with our regulatory clearances, that there is scientific data to substantiate the claims, and that our advertising is neither false nor misleading. In general, we may not promote or advertise our products for uses not within the scope of our intended use statement in our clearances or make unsupported safety and effectiveness claims. </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manufacturing processes are required to comply with the Quality Management System Regulation (“QMSR”). The QMSR, which became effective on February 2, 2026, incorporates certain elements of ISO 13485:2016 by reference and covers, among other things, the methods used in, and the facilities and controls used for, the design, testing, controlling, documenting, manufacture, packaging, labeling, storage, installation, and servicing of all medical devices intended for human use. The QMSR also requires maintenance of extensive records, which demonstrate compliance with the FDA regulation, the manufacturer’s own procedures, specifications, and testing, as well as distribution and post-market experience. Compliance with the QMSR is necessary for a manufacturer to be able to continue to market cleared or approved product offerings in the U.S. A company’s facilities, records, and manufacturing processes are subject to periodic scheduled or unscheduled inspections by the FDA. Failure to maintain compliance with applicable QMSR requirements could result in the shut-down of, or restrictions on, manufacturing operations and the recall or seizure of marketed products. If the FDA determines that a manufacturer has failed to comply with applicable regulatory requirements, it can take a variety of compliance or enforcement actions, which may result in any of the following sanctions: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warning letters, untitled letters, fines, injunctions, consent decrees, administrative penalties, and civil or criminal penalties;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recalls, withdrawals, or administrative detention or seizure of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operating restrictions or partial suspension or total shutdown of production;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refusing or delaying requests for 510(k) marketing clearance or PMA approvals of new products or modified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withdrawing 510(k) clearances or PMA approvals that have already been granted;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refusal to grant export approvals for our products; or</w:t>
      </w:r>
    </w:p>
    <w:p>
      <w:pPr>
        <w:pStyle w:val="TextBody"/>
        <w:bidi w:val="0"/>
        <w:spacing w:lineRule="auto" w:line="288" w:before="0" w:after="120"/>
        <w:ind w:left="0" w:right="0" w:firstLine="360"/>
        <w:jc w:val="both"/>
        <w:rPr/>
      </w:pPr>
      <w:r>
        <w:rPr>
          <w:color w:val="000000"/>
        </w:rPr>
        <w:t>•</w:t>
      </w:r>
      <w:r>
        <w:rPr>
          <w:rFonts w:ascii="Times New Roman;serif" w:hAnsi="Times New Roman;serif"/>
          <w:b w:val="false"/>
          <w:color w:val="000000"/>
          <w:sz w:val="20"/>
        </w:rPr>
        <w:t>criminal prosecution.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discovery of previously unknown problems with any marketed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Products manufactured outside of the U.S. by or for us are subject to U.S. Customs and FDA inspection upon entry into the U.S. We must demonstrate compliance of such products with U.S. regulations and carefully document the eventual distribution or re-exportation of such products. Failure to comply with all applicable regulations could prevent us from having access to products or components critical to the manufacture of finished products and lead to shortages and delays.</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Healthcare Regulatory Laws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broadly applicable fraud and abuse and other healthcare laws and regulations that may constrain the business or financial arrangements and relationships through which we research, market, sell, and distribute our products. Restrictions under applicable federal and state healthcare laws and regulations, include the following: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in whole or in part, under a federal and state healthcare program such as Medicare and Medicaid. A person or entity does not need to have actual knowledge of the statute or specific intent to violate it in order to have committed a violation;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federal criminal and civil false claims laws, including the federal False Claims Act, which can be enforced through civil whistleblower or qui tam actions against individuals or entities, and the Federal Civil Monetary Penalties Laws,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Health Insurance Portability and Accountability Act of 1996, as amended by the Health Information Technology for Economic and Clinical Health Act of 2009, and regulations implemented thereunder (collectively “HIPAA”),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 xml:space="preserve">the Physician Payments Sunshine Act, which requires certain manufacturers of covered drugs, devices, biologics, and medical supplies that are reimbursable under Medicare, Medicaid, or the Children’s Health Insurance Program, with certain exceptions, to report annually to the Centers for Medicare &amp; Medicaid Services (“CMS”) information on certain payments and other transfers of value to physicians (defined to include doctors, dentists, optometrists, podiatrists, and chiropractors), teaching hospitals, and certain other health care providers (such as physician assistants and nurse practitioners), as well as ownership and investment interests held by physicians and their immediate family members; </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certain state laws that require medical device manufacturers to comply with the industry’s voluntary compliance guidelines and the relevant compliance guidance promulgated by the federal government in addition to requiring such manufacturers to report information related to payments to clinicians and other healthcare providers or marketing expenditures.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Violations of any of these laws may result in significant penalties, including but not limited to the following: civil, criminal, and administrative penalties; damages; fines; disgorgement; imprisonment; the curtailment or restructuring of operations; loss of eligibility to obtain approvals from the FDA; exclusion from participation in government contracting, healthcare reimbursement, or other government programs, including Medicare and Medicaid; integrity oversight and reporting obligations; or reputational harm.</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Foreign Regulation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order for us to market our products in countries outside the United States, we must obtain regulatory approvals or certifications and comply with extensive product quality system and composition regulations in other countries. These regulations, including the requirements for approvals, clearance, or certifications and the time required for regulatory review, vary from country to country. Some countries have regulatory review processes that are substantially longer than U.S. processes. Failure to obtain regulatory approval or certification in a timely manner and meet all of the local requirements, including language and specific safety standards, in any foreign country in which we plan to market our products could prevent us from marketing products in such countries or subject us to sanctions and fines.</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China</w:t>
      </w:r>
    </w:p>
    <w:p>
      <w:pPr>
        <w:pStyle w:val="TextBody"/>
        <w:bidi w:val="0"/>
        <w:spacing w:lineRule="auto" w:line="288" w:before="0" w:after="120"/>
        <w:ind w:left="0" w:right="0" w:firstLine="360"/>
        <w:jc w:val="both"/>
        <w:rPr/>
      </w:pPr>
      <w:r>
        <w:rPr>
          <w:rFonts w:ascii="Times New Roman;serif" w:hAnsi="Times New Roman;serif"/>
          <w:b w:val="false"/>
          <w:color w:val="000000"/>
          <w:sz w:val="20"/>
        </w:rPr>
        <w:t>China has its own regulatory agency, the National Medical Products Administration (“NMPA”). They require regulatory approvals and compliance with extensive safety and quality system regulations. Failure to obtain regulatory approval or failure to comply with any regulation may negatively impact our ability to generate revenue and harm our business. In addition to product registration approvals, our system sales into China are also dependent on obtaining importation authorizations and provincial approvals, as well as hospitals completing a tender and hospital listing process under the authorization. In June 2023, the China National Health Commission published the 14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five-year plan quota for major medical equipment to be sold in China on its official website (the “2023 Quota”). Under the original 2023 Quota, the government will allow for the sale of 559 new surgical robots into China, which could include da Vinci surgical systems as well as surgical systems introduced by others. Sales of da Vinci surgical systems under the quota are uncertain, as they are dependent on hospitals completing a tender process and receiving associated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Japan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medical devices must undergo thorough safety examinations and demonstrate medical efficacy before they receive regulatory approval to be sold in Japan. We obtained approval from the Japanese Ministry of Health, Labor, and Welfare (“MHLW”) for our da Vinci Si surgical system in October 2012, for our da Vinci Xi surgical system in March 2015, and for our da Vinci X surgical system in April 2018. In September 2022, we received regulatory clearance for the da Vinci SP surgical system in Japan for the same set of procedures as can be performed on the da Vinci Xi surgical system in Japan. In July 2025, we received regulatory clearance for our latest da Vinci 5 surgical system for use in all surgical specialties and procedures indicated for da Vinci Xi, except for cardiac indications. We have received national reimbursement status in Japan for a number of procedures since the approval of our first da Vinci surgical system in 2012. An additional eight da Vinci procedures were granted reimbursement in April 2022, including colon resection, and an additional five da Vinci procedures were granted reimbursement in April 2024, including lobectomy for benign conditions. In addition, we received higher reimbursement for da Vinci gastrectomy procedures, as compared to open and conventional laparoscopic procedure reimbursements, and higher reimbursement for certain da Vinci rectal resection procedures, as compared to open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 If these procedures are not adopted and we are not successful in obtaining adequate procedure reimbursements for additional procedures, then the demand for our products in Japan could be limited. The process of reimbursement for new da Vinci surgical procedures in Japan is led by the surgical societies. The societies submit for reimbursement or incremental reimbursement to the MHLW for their evaluation. The decision to reimburse requires in-country clinical data and is fixed in April of even-numbered years.</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European Union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EU has adopted specific directives and regulations regulating the design, manufacture, clinical investigation, conformity assessment, labeling, and adverse event reporting for medical devices. Until and including May 25, 2021, medical devices were regulated by Council Directive 93/42/EEC (the “EU Medical Devices Directive” or “EU MDD”), which has been repealed and replaced by Regulation (EU) No 2017/745 (the “EU Medical Devices Regulation” or “EU MDR”). Our current certificates have been granted under the EU MDD and EU MDR. In accordance with the EU MDR’s recently extended transitional provisions, both (i) devices lawfully placed on the market pursuant to the EU MDD prior to May 26, 2021, and (ii) legacy devices lawfully placed on the EU market after May 26, 2021, in accordance with the EU MDR transitional provisions, may generally continue to be made available on the market or put into service, provided that the requirements of the transitional provisions are fulfilled. However, even in this case, manufacturers must comply with a number of new or reinforced requirements set forth in the EU MDR with regard to the registration of economic operators and of devices, post-market surveillance, and vigilance requirements.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Pursuing marketing of medical devices in the EU will notably require that our devices be certified under the new regime set forth in the EU MDR.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EU, there is currently no premarket government review of medical devices. However, the EU requires that all medical devices placed on the market in the EU must meet the general safety and performance requirements laid down in Annex I to the EU MDR,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that may be associated with their use constitute acceptable risks when weighed against the benefits to the patient and are compatible with a high level of protection of health and safety, taking into account the generally acknowledged state of the art.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general safety and performance requirements as a practical matter, as it creates a rebuttable presumption that the device satisfies that general safety and performance requirements.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Compliance with the general safety and performance requirements of the EU MDR is a prerequisite for European Conformity (“CE”) marking,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weighed against the benefits of its intended performance, and that any claims made about the performance and safety of the device are supported by suitable evidence. Except for low-risk medical devices (Class I), where the manufacturer can issue an EC declaration of conformity based on a self-assessment of the conformity of its products with the general safety and performance requirements (except for any parts that relate to sterility, metrology, or reuse aspects),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that implement the relevant harmonized standards, which is ISO 13485:2016 for Medical Devices Quality Management Systems, conform to these requirements).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EU MDR requires that, before placing a device on the market, other than a custom-made device, manufacturers (as well as other economic operators, such as authorized representatives and importers) must register by submitting identification information to the European database on medical devices (EUDAMED), unless they have already registered. The information to be submitted by manufacturers (and authorized representatives) also includes the name, address, and contact details of the person or persons responsible for regulatory compliance. The EU MDR also requires that, before placing a device on the market, other than a custom-made device, manufacturers must assign a unique identifier to the device and provide it along with other core data to the unique device identifier (“UDI”) database. These new requirements aim at ensuring better identification and traceability of the devices. Each device – and as applicable, each package – will have a UDI composed of two parts: a device identifier (“UDI-DI”), specific to a device, and a production identifier (“UDI-PI”) to identify the unit producing the device. Manufacturers are also notably responsible for entering the necessary data on EUDAMED, which includes the UDI database, and for keeping it up to date. The obligations for registration in EUDAMED will become applicable on May 28, 2026, for the four first modules related to (i) economic actor and (ii) UDI/Devices registrations, (iii) notified bodies and certificates, and (iv) market surveillance. Until EUDAMED is fully functional, the corresponding provisions of the MDD continue to apply for the purpose of meeting the obligations laid down in the provisions regarding exchange of information, including, and in particular, information regarding registration of devices and economic operators.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manufacturers placing medical devices on the market in the EU must comply with the EU medical device vigilance system, which has been reinforced by the EU MDR. Under this system, serious incidents and Field Safety Corrective Actions (“FSCAs”) must be reported to the relevant authorities of the EU member states. These reports will have to be submitted through EUDAMED (once functional) and aim to ensure that, in addition to reporting to the relevant authorities of the EU member states, other actors, such as the economic operators in the supply chain, will also be informed. Until EUDAMED is fully functional, the corresponding provisions of the MDD continue to apply. Manufacturers are required to take FSCAs, which are defined as any corrective action for technical or medical reasons to prevent or reduce a risk of a serious incident associated with the use of a medical device that is made available on the market. A serious incident is any malfunction or deterioration in the characteristics or performance of a device on the market (e.g., inadequacy in the information supplied by the manufacturer, undesirable side-effect, etc.), which, directly or indirectly, might lead to either the death or serious deterioration of the health of a patient, user, or other persons, or to a serious public health threat. An FSCA may include the recall, modification, exchange, destruction, or retrofitting of the device. FSCAs must be communicated by the manufacturer or its legal representative to its customers and/or to the end users of the device through Field Safety Notices. For similar serious incidents that occur with the same device or device type and for which the root cause has been identified or a FSCA implemented or where the incidents are common and well documented, manufacturers may provide periodic summary reports instead of individual serious incident reports.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Manufacturers (and authorized representatives) must also have available within their organization at least one person responsible for regulatory compliance, or PRRC, who possesses the requisite expertise in the field of medical devices. The PRRC is responsible for all aspects of compliance with the requirements of the EU MDR and in particular compliance with post-market surveillance and vigilance requirements.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advertising and promotion of medical devices are subject to some general principles set forth in EU legislation. According to the EU MDR,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a national level. EU member states’ laws related to the advertising and promotion of medical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devices, which vary between jurisdictions, may limit or restrict the advertising and promotion of products to the general public and may impose limitations on promotional activities with healthcare professionals.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EU member states have adopted specific anti-gift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 Certain countries also mandate implementation of commercial compliance programs.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aforementioned EU rules are generally applicable in the European Economic Area (“EEA”), which consists of the 27 EU member states as well as Iceland, Liechtenstein, and Norway.</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Brexit and the UK Regulatory Framework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January 1, 2021, the Medicines and Healthcare Products Regulatory Agency (“MHRA”) has been the sovereign regulatory authority responsible for Great Britain (i.e., England, Wales, and Scotland) medical device clearances. Following the end of the Brexit transitional period on January 1, 2021, new regulations require all medical devices to be registered with the MHRA before being placed on the Great Britain market. From January 1, 2022, non-UK manufacturers were required to appoint a UK Responsible Person for the purposes of registering devices placed on the Great Britain market. Under the terms of the Protocol on Ireland/Northern Ireland, the EU MDR applies to medical devices placed on the Northern Ireland market in the same way as it applies to medical devices marketed in the EU. In addition, the Trade Deal between the UK and the EU generally provides for cooperation and exchange of information between the parties in the areas of product safety and compliance, including market surveillance, enforcement activities and measures, standardization-related activities, exchanges of officials, and coordinated product recalls. As such, processes for compliance and reporting should reflect requirements from regulatory authorities.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16, 2025, the UK adopted an amendment to the Medical Devices Regulations 2002 (“UK Medical Devices Regulations”) intended to clarify and strengthen the post-market surveillance requirements for medical devices in Great Britain. In addition, the MHRA launched a consultation between November 14, 2024, and January 5, 2025, on proposals to update the pre-market requirements for medical devices in Great Britain. On July 22, 2025, the MHRA published a response to the consultation confirming that it will incorporate the results of this consultation into new UK legislation on pre-market requirements for medical devices in Great Britain. A draft of the new legislation is expected in 2026. Under the current UK Medical Devices Regulations, certain medical devices need to be “UKCA” certified by a UK approved body in order to be lawfully placed on the Great Britain market. However, certain medical devices in compliance with: (1) the EU Medical Devices Directive can continue to be placed on the Great Britain market until the sooner of certificate expiration or June 30, 2028; or (2) the EU Medical Devices Regulation can continue to be placed on the Great Britain market until the sooner of certificate expiration or June 30, 2030. The MHRA has confirmed that it intends to launch a consultation regarding the indefinite recognition of such medical devices in Great Britain. Medical devices also need to bear a physical UK Conformity Assessment (“UKCA”) mark in order to be lawfully placed on the Great Britain market. However, the MHRA has confirmed in its recent response to the consultation on pre-market requirements for medical devices in Great Britain that it intends to remove the requirement for a medical device and its labeling (i.e., packaging and instructions for use) in Great Britain to bear a physical UKCA mark. Instead of requiring a medical device and its labeling to bear a UKCA mark, manufacturers will be required to assign a UDI to a medical device and register the UDI in a publicly accessible database before the medical device is placed on the Great Britain market. If this change is implemented, we will no longer be required to affix the physical UKCA mark to our medical devices, but we will need to assign and affix a UDI and register the UDI in a publicly accessible database.</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countries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Regulations in other countries, including the requirements for approvals, certification, or clearance and the time required for regulatory review, vary from country to country. Certain countries, such as South Korea, Brazil, Australia, India, and Canada, have their own regulatory agencies. These countries typically require regulatory approvals and compliance with extensive safety and quality system regulations included in the MDSAP (Medical Device Single Audit Program) that we comply with every year as part of our annual audit program. Failure to obtain regulatory approval in any foreign country in which we plan to market our products, or failure to comply with any regulation in any foreign country in which we market our products may negatively impact our ability to generate revenue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local regulations may apply, which govern the use of our products and which could have an adverse effect on our product utilization if they are unfavorable. All such regulations are revised from time to time and, in general, are increasing in complexity and in the scope and degree of documentation and testing required. There can be no assurance that the outcomes from such documentation and testing will be acceptable to any particular regulatory agency or will continue to be acceptable over time. There are further regulations governing the importation, marketing, sale, distribution, use, and service as well as the removal and disposal of medical devices in the regions in which we operate and market our products. Failure to comply with any of these regulations could result in sanctions or fines and could prevent us from marketing our products in these regions.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Data Privacy and Security Laws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operating our business, we receive, store, use, and otherwise process information that relates to individuals and/or constitutes “personal data,” “personal information,” “personally identifiable information,” or similar terms under applicable data privacy laws. Numerous state, federal, and foreign laws, regulations, standards, and other obligations govern the collection, use, disclosure, confidentiality, and security of personal information, including health-related information. For example, in the U.S., HIPAA imposes privacy, security, and breach notification obligations on covered entities and their business associates to ensure the confidentiality, integrity, and availability of individually identifiable health information. At the state level, multiple states have enacted comprehensive consumer privacy laws. Notably, the California Consumer Privacy Act, as amended by the California Privacy Rights Act, gives California residents expanded rights to access, correct, and delete their personal information, opt out of certain personal information sharing, and receive detailed information about how their personal information is used. We are also subject to various foreign data privacy laws, including the European Union General Data Protection Regulation 2016/679 and applicable national supplementing laws and to the United Kingdom General Data Protection Regulation and Data Protection Act 2018, as well as applicable data privacy laws in China.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Third-Party Coverage and Payment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customers, including physicians, hospitals, and outpatient facilities, typically bill third-party payors for the costs and fees associated with the procedures in which our products are used. In the U.S., in order to receive payment for the procedures performed using our products, our customers must report codes that describe the services or products furnished and determine the medical necessity of the service or whether the service is included in the payors’ policy. In the U.S. and most markets globally where we sell our products, payment for medical services and surgical procedures to hospitals, outpatient facilities, and surgeons (collectively “providers”) is determined by the government, commercial payors (insurers), or both.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the CMS and its fiscal intermediaries (Medicare Administrative Contractors) and state Medicaid programs establish reimbursement policies for medical and surgical services at the state and federal level for the Medicare and Medicaid programs. Third-party payors often rely upon Medicare coverage policy and payment limitations in setting their own coverage and payment policies but also have their own methods and approval processes. Commercial payors in non-capitated contracts commonly establish payment to providers based on a percentage of the Medicare payment rate.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Physicians and outpatient facilities bill for medical and surgical services by reporting a combination of billing codes. Current Procedural Terminology (“CPT”) codes are created by the American Medical Association (“AMA”) with input from CMS and commercial payors to describe medical and surgical procedures. CPT codes currently exist for minimally invasive surgical procedures, which may involve the da Vinci surgical system, as well as for robotic-assisted bronchoscopy, which may involve the Ion endoluminal system. In general, the majority of payors, including Medicare, consider robotic assistance as a tool used to perform the procedure and do not pay providers more for a procedure that involves robotic assistance using the da Vinci, Ion, or any other robotic system. Because there is often no separate payment for the use of our products, the additional cost associated with the use of our products can affect the profit margin of the hospital or surgery center where the procedure is performed. If hospitals do not obtain sufficient payment from third-party payors for procedures performed with our products or if governmental and private payors’ policies do not cover surgical procedures performed using our products, hospital adoption or utilization of our products could be negatively impacted, and we may not be able to generate the revenue necessary to support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Hospitals bill for inpatient services by reporting ICD-10-PCS codes. CMS is primarily responsible for overseeing changes and modifications to ICD-10-PCS codes. Medicare payments to hospitals for services provided during an inpatient stay are based on the Inpatient Prospective Payment System (“IPPS”). Under the IPPS, each patient discharge is categorized into a Medicare Severity Adjusted Diagnosis-Related Group (“MS-DRG” or “DRG”). Each DRG has an assigned payment weight based on the average resources used for Medicare patients in that DRG, taking into account the patient’s principal diagnosis, surgical procedures, age, discharge status, and additional or secondary diagnoses, among other things. The DRG is a single, bundled payment intended to cover all costs associated with the inpatient admission.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use of robotic technology does not influence the MS-DRG assignment or payment for an inpatient admission related to a surgical procedure. CMS annually updates hospital inpatient and outpatient payments based on hospitals’ charge data. Hospital inpatient and outpatient payments are also adjusted based on whether the hospital is a teaching hospital, its geographic location, and any failures to meet certain quality metrics, among other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Commercial payors commonly establish inpatient facility payment for providers using published Medicare DRG rates as a benchmark. In some uncommon cases, commercial payors pay for inpatient hospital admissions on a per diem basis. Commercial payment to providers varies depending on the procedure performed, geographic location, contractual allowances, and other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Medicare and commercial payor payments to facilities for medical and surgical services may not always fully reimburse providers for all costs associated with furnishing these procedures. If payment is insufficient for procedures involving our technology, hospitals and physicians may decide not to use our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countries outside of the U.S., payment for surgical services to physicians and facilities differs considerably and varies by country. In some markets, there is a single public payor who provides a global annual budget to hospitals to provide all care to the population served in a designated geographic area. In other markets, private insurance can be purchased or is provided by employers to supplement public health insurance. In some countries, patients may be permitted to pay directly for surgical services; however, such “co-pay” practices are not common (or allowed) in many countries. Further, in many global markets, access to procedures and technology is governed or heavily influenced by Health Technology Assessment (“HTA”) organizations, which conduct periodic and extensive evidence-based reviews of the clinical value and cost effectiveness of a new technology. To effectively conduct our business, we may need to seek OUS reimbursement approvals, and we do not know if these required approvals will be obtained in a timely manner or at all. In addition, in some markets, HTA organizations may publish reports with mixed conclusions about the clinical and economic value of our products to the population. Such reviews could negatively impact hospital adoption of our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Healthcare Reform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there have been, and continue to be, legislative initiatives designed to contain healthcare costs. For example, the Patient Protection and Affordable Care Act (the “ACA”) enacted in March 2010 introduced significant changes affecting healthcare providers, insurers, pharmaceutical companies, and medical device manufacturers, including revenue-generating provisions to fund expanded health insurance coverage and support research of the comparative effectiveness of healthcare treatments and strategies. To date, this research has had a negligible effect on Medicare and other third-party payor coverage and reimbursement policies. Since enactment of the ACA, additional legislative changes have included an aggregate reduction in Medicare payments effective from April 1, 2013, through 2032. More recently, the One Big Beautiful Bill Act (the “OBBBA”), enacted on July 4, 2025, contains provisions that, among other changes, may cause a decrease in enrollment in Medicaid and ACA marketplace plans, which could adversely affect demand for our products. Additionally, individual U.S. states are increasingly enacting laws to control product pricing, reimbursement, and marketing cost transparency.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and abroad, reimbursement is dynamic and subject to change annually by public and private payors. Congress and government agencies may also intervene and pass legislation that is intended to reduce healthcare spending, which could impact market access. Such legislative interventions can vacillate significantly based on government leadership. Other federal or state healthcare reform measures that may be adopted in the future could have a material adverse effect on our business. 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adversely affect our business, financial condition, and results of business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 reform measures may be adopted in foreign jurisdictions. For instance, on December 13, 2021, the EU Regulation No 2021/2282 on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Human Capital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Delivering on our mission depends on our ability to attract, engage, retain, and further develop top talent around the globe. We strive to enable this by making Intuitive an inclusive and safe workplace with opportunities for our employees, regardless of background, to grow and develop in their careers. Intuitive provides competitive compensation, benefits, and programs that encourage employee health and wellness as well as foster connections between our employees, the communities, and the customers we serve.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17,021 full-time employees, with approximately 2,288 in research and development, 7,625 in manufacturing operations, 4,837 in commercial and service operations, and 2,271 in administrative activities. During 2025, the number of employees increased by approximately 1,383. Our employees are based in 29 different countries around the world. Our global workforce consists of a diverse range of highly skilled talent. During 2025, our turnover rate was approximately 9.3%.</w:t>
      </w:r>
    </w:p>
    <w:p>
      <w:pPr>
        <w:pStyle w:val="TextBody"/>
        <w:bidi w:val="0"/>
        <w:spacing w:lineRule="auto" w:line="288" w:before="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Inclusion and Diversity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Intuitive’s inclusion and diversity (“I&amp;D”) mission is to work to build an environment where every individual can belong and flourish – in our company and the communities we serve.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everyone should feel included and fairly treated, and we embrace the unique qualities that make people who they are. This includes all genders and gender identities, races, ethnicities, ages, national origins, native languages, disabilities, sexual orientations, body sizes, military backgrounds, cognitive styles, socioeconomic backgrounds, religions, and family structures. We believe an inclusive environment promotes the ability to propel innovation and creativity forward.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four-part strategy to guide our I&amp;D efforts: promoting an inclusive experience, where employees from all backgrounds feel welcome, supported, and valued; building a workforce open to the full range of qualified individuals to fuel innovation and better mirror the customers and patients we serve; continuously investing in and enhancing the fairness of our people practices and sharing progress; and strengthening industry engagement through collaboration with our customers, the broader healthcare community, and shareholders. We aim to pursue this strategy through various initiatives, including assessing our efforts through a compliance lens; our policies prohibit unlawful discrimination against individuals on the basis of any protected characteristic.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our employee workforce composition, including a link to our Employer Information Report (“EEO-1”) submission to the U.S. Equal Employment Opportunity Commission (“EEOC”), are available on our website. Although we reference the availability of our EEO-1 on our website in this Annual Report on Form 10-K, our EEO-1 and any other materials on our website are not incorporated by reference into this Annual Report on Form 10-K or any of our other filings under the Securities Act of 1933, as amended, or the Exchange Act. While matters discussed in such EEO-1 and other website materials may be significant, any significance should not be read as necessarily rising to the level of materiality used for the purposes of our compliance with the U.S. federal securities laws, even if we use the word “material” or “materiality” or similar language in such materials.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 governance perspective, maintaining a mix of backgrounds and experience in our Board composition is essential to being able to understand, represent, and reflect the needs of our diverse stakeholders. Currently, five of our 11 Board members (45%) are women, and five of our 11 Board members (45%) self-identify as individuals from underrepresented communities (defined as an individual who self-identifies as Black, African American, Hispanic, Latino, Asian, Pacific Islander, Native American, Native Hawaiian, or Alaska Native, or LGBTQ+).</w:t>
      </w:r>
    </w:p>
    <w:p>
      <w:pPr>
        <w:pStyle w:val="TextBody"/>
        <w:bidi w:val="0"/>
        <w:spacing w:lineRule="auto" w:line="288" w:before="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Health, Safety, and Wellness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health, safety, and wellness of our employees is a priority in which we continue to invest and expand. We provide our employees and their families with access to a variety of innovative, flexible, and convenient health and wellness programs. Program benefits are intended to provide protection, peace of mind, and security, including workplace health and safety best practices integrated into everyday activities and programs that support employee time away from work, family care, mental health, or financial well-being.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evolve our programs in an effort to respond to the interests of our changing workforce, as well as the communities in which we operate, in compliance with government regulations. Each Intuitive location manages overall safety with guidance based on regional, country, and local regulations and best practices.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Compensation and Benefits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compensation and benefits programs to help meet the needs of our employees. In addition to base compensation, these programs, which vary by country and region, include short-term incentives in the form of annual bonuses and commissions, long-term incentives in the form of stock or cash-based awards, an Employee Stock Purchase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retirement savings plans, healthcare, income protection benefits, paid time off, family leave, and family care resources, among many others.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aim to support fair and equitable pay for our employees. Our executive team and Board strongly support this effort. We regularly review pay for internal equity, including with regard to race/ethnicity and gender, and to assess the appropriateness of our compensation structure. We also engage outside counsel to assess compliance with pay equity laws. When we identify potential differences in pay, we research those differences and take actions to resolve them if we deem appropriate.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conduct annual pay equity audits for our full-time U.S. workforce, focusing on pay ratios among self-identified gender and race/ethnicity groups. These audits take into account job roles and locations, among other factors. While many factors can impact compensation, minor variations may still occur. The data from our 2025 pay equity audit revealed an adjusted pay gap deviation of approximately 0.5% or less for each gender and race, which we consider to fall within the normal compensation variability range. We are proud to have strong pay practices and policies that have helped us to achieve this level of pay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Employees are encouraged to share any pay equity concerns with management, Human Resources, or confidentially through our reporting hotline, including anonymously. Intuitive has a non-retaliation policy for raising any workplace concerns in good faith, including around pay.</w:t>
      </w:r>
    </w:p>
    <w:p>
      <w:pPr>
        <w:pStyle w:val="TextBody"/>
        <w:bidi w:val="0"/>
        <w:spacing w:lineRule="auto" w:line="288" w:before="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Talent Development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Intuitive, we believe that all employees have the potential to grow. To support this growth, we offer a diverse range of development opportunities designed to help employees acquire and apply new technical, functional, and leadership skills.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Employee development at Intuitive commences from the first day and includes comprehensive onboarding programs that teach about our business, our culture, and the skills needed to successfully perform at Intuitive. Subsequently, employees have access to a variety of online learning courses, as well as classroom and cohort-based programs.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people leaders, we provide a 12-month, blended learning curriculum, called the Manager Acceleration Program (“MAP”). MAP is delivered globally and aims to teach our people leaders what it takes to successfully lead and manage at Intuitive. The program covers key leadership expectations as well as fundamental leadership skills. Additional virtual, instructor-led workshops provide timely classes aimed at assisting leaders with important employee processes, such as performance and compensation conversations.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our talent development initiatives include various team effectiveness assessments and solutions tailored to meet the needs of our growing global teams. These solutions range from cross-cultural dexterity programs to assessing and leveraging individual and team strengths. We gather feedback from our teams annually through our Employee Experience survey, holding leaders accountable for taking action based on the feedback received. In 2025, Intuitive achieved a 92% employee engagement score, signaling a strong employee commitment to our mission and the work we do each day.</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Community Programs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building connections between our employees, their families, and our communities creates a more meaningful, fulfilling, and enjoyable workplace. Through our engagement programs, our employees can pursue their interests and hobbies, connect to volunteering and giving opportunities, and enjoy unique recreational experiences with family members.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Intuitive Foundation is a nonprofit organization established in 2018 and funded by Intuitive. Since its founding, the Intuitive Foundation has been dedicated to promoting health, advancing education, and reducing human suffering. The Foundation supports outreach programs financially while we provide the volunteers and mentors from within our company. Since its inception, we have contributed $240 million to the Intuitive Foundation to fulfill its mission.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encourage you to review our 2025 Environmental, Social, and Governance (“ESG”) Report (to be made available in the “About Us — Investors” section of our website at https://isrg.intuitive.com) for more detailed information regarding our Human Capital programs and initiatives. Although we reference our ESG Report in this report, the ESG report and any other materials on our corporate website are not incorporated by reference into this Annual Report or any other filing of the Company under the Securities Act of 1933, as amended, or the Exchange Act. While matters discussed in such ESG Report and website materials may be significant, any significance should not be read as necessarily rising to the level of materiality used for the purposes of our compliance with the U.S. federal securities laws, even if we use the word “material” or “materiality” or similar language in such materials.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make our periodic and current reports, including our Annual Reports on Form 10-K, Quarterly Reports on Form 10-Q, Current Reports on Form 8-K, and any amendments to those reports, available free of charge on our website as soon as practicable after such material is electronically filed or furnished with the Securities and Exchange Commission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pPr>
      <w:r>
        <w:rPr>
          <w:rFonts w:ascii="Times New Roman;serif" w:hAnsi="Times New Roman;serif"/>
          <w:b w:val="false"/>
          <w:color w:val="000000"/>
          <w:sz w:val="20"/>
        </w:rPr>
        <w:t xml:space="preserve">Our website address is </w:t>
      </w:r>
      <w:r>
        <w:rPr>
          <w:rFonts w:ascii="Times New Roman;serif" w:hAnsi="Times New Roman;serif"/>
          <w:b w:val="false"/>
          <w:color w:val="000000"/>
          <w:sz w:val="20"/>
          <w:u w:val="single"/>
        </w:rPr>
        <w:t>www.intuitive.com</w:t>
      </w:r>
      <w:r>
        <w:rPr>
          <w:rFonts w:ascii="Times New Roman;serif" w:hAnsi="Times New Roman;serif"/>
          <w:b w:val="false"/>
          <w:color w:val="000000"/>
          <w:sz w:val="20"/>
        </w:rPr>
        <w:t xml:space="preserve">, and the reports are filed under “SEC Filings” on the Company — Investor Relations portion of our website. Periodically, we webcast Company announcements, product launch events, and executive presentations, which can be viewed via our Investor Relations page on our website. In addition, we provide notifications of our material news, including SEC filings, investor events, and press releases as part of our Investor Relations page on our website. The contents of our website are not intended to be incorporated by reference into this report or in any other report or document we file, and any references to our website are intended to be inactive textual references only. The SEC maintains an internet site that contains reports, proxy and information statements, and other information regarding issuers that file electronically with the SEC at </w:t>
      </w:r>
      <w:r>
        <w:rPr>
          <w:rFonts w:ascii="Times New Roman;serif" w:hAnsi="Times New Roman;serif"/>
          <w:b w:val="false"/>
          <w:color w:val="000000"/>
          <w:sz w:val="20"/>
          <w:u w:val="single"/>
        </w:rPr>
        <w:t>www.sec.gov</w:t>
      </w:r>
      <w:r>
        <w:rPr>
          <w:rFonts w:ascii="Times New Roman;serif" w:hAnsi="Times New Roman;serif"/>
          <w:b w:val="false"/>
          <w:color w:val="000000"/>
          <w:sz w:val="20"/>
        </w:rPr>
        <w:t>. The contents of these websites are not incorporated into this filing. Further, references to the URLs for these websites are intended to be inactive textual references only.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our business as one segment, as defined by U.S. generally accepted accounting principles. Our financial results for the years ended December 31, 2025, 2024, and 2023 are discussed in “Item 7. Management’s Discussion and Analysis of Financial Condition and Results of Operations” and “Item 8. Financial Statements and Supplementary Data” of this Annual Report.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Intuitive Surgical, Inc. was founded in 1995. We are a Delaware corporation with our principal executive offices located at 1020 Kifer Road, Sunnyvale, California 94086. Our telephone number is (408) 523-2100, and our website address is </w:t>
      </w:r>
      <w:r>
        <w:rPr>
          <w:rFonts w:ascii="Times New Roman;serif" w:hAnsi="Times New Roman;serif"/>
          <w:b w:val="false"/>
          <w:color w:val="000000"/>
          <w:sz w:val="20"/>
          <w:u w:val="single"/>
        </w:rPr>
        <w:t>www.intuitive.com</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consider each of the following risk factors, which could materially affect our business, financial condition, or future results of operations. Additional risks and uncertainties not currently known to us or that we currently deem to be immaterial also may materially adversely affect our business, financial condition, or future results of operations. In addition, the global economic environment may amplify many of these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u w:val="single"/>
        </w:rPr>
      </w:pPr>
      <w:r>
        <w:rPr>
          <w:rFonts w:ascii="Times New Roman;serif" w:hAnsi="Times New Roman;serif"/>
          <w:b/>
          <w:color w:val="000000"/>
          <w:sz w:val="20"/>
          <w:u w:val="single"/>
        </w:rPr>
        <w:t>RISKS RELATING TO OUR BUSINESS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COMMERCIAL LANDSCAPE IS HIGHLY COMPETITIVE, AND CUSTOMERS MAY CHOOSE OUR COMPETITORS’ PRODUCTS OR SERVICES OR MAY NOT ACCEPT ROBOTIC-ASSISTED MEDICAL PROCEDURES, WHICH COULD RESULT IN REDUCED REVENUE AND LOSS OF CUSTOMERS.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Robotic-assisted medical procedures with a da Vinci surgical system or Ion endoluminal system are technologies that compete with established and emerging treatment options in reconstructive medical procedures or disease management. These competitive treatment options include open surgery, conventional MIS (laparoscopy), drug therapies, radiation treatment, and other emerging diagnostic and interventional surgical approaches. Some of these procedures are widely accepted in the medical community and, in many cases, have a long history of use. Technological advances could make such treatment options more effective or less expensive than using our products, which could render our products obsolete or unmarketable. Also, studies could be published that show that other treatment options are more beneficial and/or cost-effective than robotic-assisted medical procedures. We cannot be certain that physicians, or their patients, will choose our products to replace or supplement established treatment options or that our products will continue to be competitive with current or future technologies. For example, in 2023, certain drugs initially approved for use in diabetes patients gained acceptance for use in weight loss treatment following FDA approvals for weight loss indications. The availability and effectiveness of weight loss drugs have reduced the number of bariatric procedures performed, including those bariatric procedures performed using our da Vinci surgical system, as some patients reconsider the surgical treatment option. At this time, it is difficult to predict the long-term commercial impact of these drugs, including their long-term efficacy as weight loss drugs and potential drawbacks.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currently face, or anticipate facing, competition from companies with products used in open or MIS surgeries, including laparoscopy and alternative multi-port, single-port, or endoluminal systems. We also compete with companies providing other therapeutic approaches for addressing target clinical conditions, as well as companies developing diagnostic solutions that could serve as alternatives to current or planned Intuitive offerings. Companies that have introduced products in the field of robotic-assisted medical procedures, or have made explicit statements about their efforts to enter the field, include, but are not limited to, the following: Beijing Surgerii Robotics Company Limited; CMR Surgical Ltd.; Distalmotion SA; Harbin Sizhe Rui Intelligent Medical Equipment Co., Ltd.; Johnson &amp; Johnson; Karl Storz SE &amp; Co. KG; Medicaroid Corporation; Medtronic plc; meerecompany Inc.; Noah Medical Corporation; Shandong Weigao Group Medical Polymer Company Ltd.; Shanghai Microport Medbot (Group) Co., Ltd.; Shenzhen Edge Medical Co., Ltd.; and SS Innovations International, Inc. Other companies with substantial experience in industrial robotics could potentially expand into the field of medical robotics and become competitors. Additionally, we expect increasing competition within China for robotic-assisted systems. We may not be able to maintain or improve our commercial position against current or potential competitors. Our revenues may be reduced due to pricing pressure if our competitors develop and market products that are more effective or less expensive than our products. Robotic or other competitors may respond more quickly to or integrate new or emerging technologies in their product offerings, undertake more extensive marketing campaigns, have access to unique clinical information to support ongoing product position with customers, have greater financial, marketing, and other resources, or be more successful in attracting potential customers, employees, and strategic partners. In addition, academic institutions, governmental agencies, and other public and private research organizations may conduct research, seek patent protection, and establish collaborative arrangements for discovery, research, and marketing of products similar to ours. These companies and institutions compete with us in recruiting and retaining qualified scientific and management personnel, as well as in acquiring necessary product technologies. If we are unable to compete successfully, our revenues will suffer, which could have a material adverse effect on our business, financial condition, or result of operations.</w:t>
      </w:r>
    </w:p>
    <w:p>
      <w:pPr>
        <w:pStyle w:val="TextBody"/>
        <w:bidi w:val="0"/>
        <w:spacing w:lineRule="auto" w:line="288" w:before="0" w:after="120"/>
        <w:ind w:left="0" w:right="0" w:firstLine="360"/>
        <w:jc w:val="both"/>
        <w:rPr/>
      </w:pPr>
      <w:r>
        <w:rPr>
          <w:rFonts w:ascii="Times New Roman;serif" w:hAnsi="Times New Roman;serif"/>
          <w:b w:val="false"/>
          <w:color w:val="000000"/>
          <w:sz w:val="20"/>
        </w:rPr>
        <w:t>In addition, third-party service providers that service</w:t>
      </w:r>
      <w:r>
        <w:rPr>
          <w:color w:val="000000"/>
        </w:rPr>
        <w:t xml:space="preserve"> </w:t>
      </w:r>
      <w:r>
        <w:rPr>
          <w:rFonts w:ascii="Times New Roman;serif" w:hAnsi="Times New Roman;serif"/>
          <w:b w:val="false"/>
          <w:color w:val="000000"/>
          <w:sz w:val="20"/>
        </w:rPr>
        <w:t>da Vinci surgical system and Ion endoluminal system operators may emerge and compete with us on price or offerings. To date, substantially all of our customers have sourced services on their systems from us through service contract commitments or time and materials contracts. Furthermore, there are third-party service providers offering consulting services targeted at analyzing the cost-effectiveness of hospitals’ robotic-assisted medical programs, including procedures performed, placement of systems, and consumption of instruments and accessories. We provide similar services and analysis to our customers, but it is difficult to assess the impact that this may have on our business. If we are unable to compete successfully with any third-party service providers, our revenues may suffer, which could have a material adverse effect on our business, financial condition, or result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ARE SUBJECT TO A VARIETY OF RISKS DUE TO OUR OPERATIONS OUTSIDE OF THE U.S.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perform research and development activities, manufacture, and distribute our products in OUS markets. Revenue from OUS markets accounted for approximately 32%, 33%, and 34% of our revenue for the years ended December 31, 2025, 2024, and 2023, respectively. Our OUS operations are, and will continue to be, subject to a number of risks including: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failure to obtain or maintain the same degree of protection against infringement of our intellectual property rights due to differing intellectual property protection laws in OUS countries from those in the U.S.;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multiple OUS regulatory requirements that are subject to change and that could impact our ability to manufacture and sell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tariffs, trade barriers, and regulatory requirements, such as the enactment of tariffs on goods imported into the U.S. including, but not limited to, potential tariffs on goods imported from Mexico where we manufacture a significant majority of our instruments and accessories that we sell;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protectionist laws, policies, and business practices that favor local competitors or lead non-U.S. customers to favor domestic technology solutions over imports, which could slow our growth, increase our costs, or make our products less competitive in OUS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local or national regulations that make it difficult or impractical to market or use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U.S. relations with the governments of the other countries in which we operate;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inability or regulatory limitations on our ability to move goods across borders;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risks associated with foreign currency exchange rate fluctuations;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difficulty in establishing, staffing, and managing OUS operations, including appropriate business procedures and controls and differing labor relations;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expense of establishing facilities and operations in new foreign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compliance with anti-corruption laws, such as the U.S. Foreign Corrupt Practices Act (“FCPA”), UK Bribery Act of 2010 (“UK Bribery Act”), and other local laws prohibiting corrupt payments to government officials;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adherence to antitrust and anti-competition laws;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economic weakness, including inflation, or political instability in particular foreign economies and markets, including exposure to a higher degree of financial risk if we extend credit to customers in these economies.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increased, and will continue to increase, our operations in China. There is inherent risk, based on the complex and changing dynamic between China and the U.S., that political, diplomatic, military, or other events could result in business disruptions, including, but not limited to, increased policy or regulatory enforcement against companies, tariffs, trade embargoes, or export restrictions. Tariffs increase the cost of our products and the components and raw materials that go into making them. These increased costs adversely impact the gross margin that we earn on our products. Tariffs can also make our products more expensive for customers, which could make our products less competitive when compared to those products offered by domestic companies and reduce consumer demand. Countries may also adopt other measures, such as controls on imports or exports of goods, technology, or data, which could adversely impact our operations and supply chain and limit our ability to offer our products and services as designed. These measures can require us to take various actions, including changing suppliers and restructuring business relationships. Changing our operations in accordance with new or changed trade restrictions can be expensive, time-consuming, disruptive to our operations and distracting to management. Such restrictions can be announced with little or no advance notice, and we may not be able to effectively mitigate all adverse impacts from such measures. Political and policy uncertainty surrounding trade and other bilateral and multilateral issues could also have a negative effect on consumer confidence and spending. Additionally, our joint venture works with and relies on a number of dealers, distributors, and other third parties to commercialize and deliver our products. Any of these events could reduce customer demand, increase the cost of our products and services, or otherwise have a materially adverse impact on our customers’ and suppliers’ businesses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in 2020, the U.S. government amended the Entity List rules to expand the requirement to obtain a license prior to the export of certain technologies. In addition, in 2020, a new U.S. regulation sought to prohibit the U.S. government from contracting directly with companies that use the products or services of certain Chinese companies in the provision of their services to the U.S. government. This regulation was then expanded to prohibit companies contracting with the U.S. government from using the products or services of certain Chinese companies anywhere in their operations. Based on our current understanding of these regulations, they do not materially adversely impact our business at this time. However, we cannot predict the impact that additional policy, legislative, or regulatory changes may have on our business in the future. These actions or similar actions may result in retaliatory policies and regulations promulgated in China that could adversely affect our business operations in China or may otherwise limit our ability to offer our products and services in China and other parts of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China, we have seen increasing competition in the robotic-assisted surgical system industry from domestic companies as well as a sustained broader central government focus on anti-corruption and systematic governance. For example, in July 2023, the Chinese government launched an anti-corruption and systematic governance campaign targeting the healthcare sector. This campaign resulted in heightened scrutiny by medical institutions with respect to initiating tenders, with some tenders being canceled or delayed without a timeline. The extent and impact of this campaign on our business remains uncertain. In 2025, the effects of this campaign, combined with the competitive dynamics in China and various measures related to industrial policy, contributed to fewer systems being placed in China than we anticipated. Currently, the extent and impact of this campaign and the competitive dynamics in China on our business remains uncertain.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UK is in the process of overhauling its medical device regulatory framework following its departure from the European Union (“EU”). The UK regulatory framework will apply in Great Britain only, as Northern Ireland continues to follow the EU Medical Devices Regulation (“MDR”). New post-market surveillance requirements took effect on June 16, 2025, while a draft of additional rules governing device classification and pre-market approval pathways are expected to be published in 2026. The divergence of the new UK rules from EU law could adversely affect or delay our ability to obtain approval for our medical device products in the UK. In addition, any delays in implementation, changes in interpretation, or additional requirements under the new UK regime could adversely affect our ability to market and service our products in Great Britain, which could have adverse impacts on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federal government has made changes to the U.S. trade policy, including entering into a successor to the North American Free Trade Agreement (“NAFTA”), known as the United States-Mexico-Canada Agreement (“USMCA”), effective as of July 1, 2020. In addition, during 2025, the U.S. federal government imposed new tariffs on imports from various countries including Mexico, Germany, and China, among others. Such tariffs and, if enacted, any further legislation or actions taken by the U.S. federal government that restrict trade, such as additional tariffs, trade barriers, and other protectionist or retaliatory measures taken by governments in other countries, including reciprocal tariffs, limitations on government procurement, or technology export restrictions, could adversely impact our global operations and our ability to sell products and services in our OUS markets. Tariffs could increase the cost of our products and the components and raw materials that go into making them. These increased costs could adversely impact the gross margin that we earn on our products, which could make our products less competitive and reduce consumer demand. Countries may also adopt other protectionist measures that could limit our ability to offer our products and services, which could increase uncertainties and associated risks relating to our global operations. The ultimate impact of any tariffs will depend on various factors, including if any tariffs are ultimately implemented, the timing of implementation, and the amount, scope, and nature of the tariffs.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 generally, several governments, including the U.S., have raised the possibility of policies to induce “re-shoring” of supply chains, less reliance on imported supplies, and greater national production. Examples include potential “Buy America” requirements in the U.S. If such steps by local governments triggered retaliation in other markets restricting access to foreign products in purchases by their government-owned healthcare systems, the result may have an adverse impact on our business, financial condition, or result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certain markets, our OUS sales are denominated in U.S. dollars. As a result, an increase in the value of the U.S. dollar relative to foreign currencies could make our products less competitive and/or less affordable in those OUS markets.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meet and manage these risks noted above, our OUS operations may not be successful, which would limit the growth of our business and could have a material adverse effect on our business, financial condition, or result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ARE SUBJECT TO LITIGATION, INVESTIGATIONS, AND OTHER LEGAL PROCEEDINGS RELATING TO OUR PRODUCTS, CUSTOMERS, COMPETITORS, AND GOVERNMENT REGULATORS THAT MAY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and may become, subject to various legal proceedings and claims that arise in or outside the ordinary course of business. Certain current lawsuits and pending proceedings to which we are party, including purported class actions, product liability litigation, and patent litigation, are described in Note 8 to the Consolidated Financial Statements included in Part II, Item 8.</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our business exposes us to significant risks of patent claims, product liability claims, and competition claims (including antitrust claims), many of which are common in the medical device industry. For example, product liability claims have been brought against us by, or on behalf of, individuals alleging that they have sustained personal injuries and/or death as a result of purported product defects, the alleged failure to warn, and/or the alleged inadequate training by us of physicians regarding the use of our products. The individuals who have brought the product liability claims seek recovery for their alleged personal injuries and, in many cases, punitive damages. Product liability claims have resulted in negative publicity regarding our Company, and ongoing or future product liability or negligence claims or product recalls could also harm our reputation. Refer to our risk factor titled “Negative publicity, whether accurate or inaccurate, concerning our products or our company could reduce acceptance of our products and could result in decreased product demand and reduced revenues” for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risks related to the potential effects of negative publicity on our business. Also, antitrust claims have been brought against us by third parties looking to compete in the instruments or servicing space and by certain customers.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outcome of these product liability claims and other legal proceedings cannot be predicted with certainty. We purchase and maintain business insurance for certain liabilities and self-insure our product liability claims through a fronting policy. We cannot determine whether our existing business insurance program would be sufficient to cover the costs or potential losses related to our lawsuits and legal proceedings or otherwise be excluded under the terms of any insurance policy. Additionally, regardless of merit, litigation may be time-consuming and disruptive to our operations and cause significant legal costs (including settlements, judgments, legal fees, and other related defense costs) and diversion of management attention. We could also be subject to governmental investigations in connection with some of these and other claims. If we do not prevail in these legal proceedings, we may be faced with significant monetary damages or injunctive relief against us that could have a material adverse effect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OFFER USAGE-BASED ARRANGEMENTS, INCLUDING ALTERNATIVE CAPITAL ACQUISITION APPROACHES; AS A RESULT, WE ARE EXPOSED TO AN INCREASED RISK OF LOSSES OF REVENUE AND INCREASED CREDIT RISK, WHICH COULD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increasingly offering usage-based arrangements as part of our business model. As a result, we are exposed to an increased risk of losses of revenue in any period where the usage decreases. Moreover, our pricing is generally set based on the expected usage of the technology. Therefore, if utilization of our technology falls short of the anticipated levels, we may not be able to recover the costs associated with the technology, which could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customer financing through leasing is an important consideration for some of our customers and have experienced an increase in demand for customer financing. Lease financing arrangements have the effect of reducing cash flows at lease commencement and, instead, spread them over the life of the lease term, which increases the time taken to recover our product costs and can impact our liquidity. We may experience losses from a customer’s failure to make payments according to the contractual lease terms. Our exposure to the credit risks relating to our lease financing arrangements may increase if our customers are adversely affected by changes in healthcare laws, coverage, and reimbursement, economic pressures or uncertainty, or other customer-specific factors. Although we have programs in place that are designed to monitor and mitigate the associated risks, there can be no assurance that such programs will be effective in reducing credit risks relating to these lease financing arrangements. If the level of credit losses we experience in the future exceeds our expectations, such losses could have a material adverse effect on our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fixed-payment leases, we lease our systems to certain qualified customers where the lease payments are based on their usage of the systems. If customers do not perform a sufficient number of procedures on our systems leased under usage-based arrangements, it could impact our profitability on those arrangements and our overall results of operations. Moreover, the usage of those systems and related billings could vary from quarter to quarter, which could result in higher variability in our revenue under those arrangements, including a significant reduction in revenue if the usage ends, fluctuations in our gross profit margins if utilization is different than our expectations, and unpredictable cash flows. Moreover, there is risk in forecasting future utilization of a system and, therefore, we may not set our usage-based rates high enough to maintain our gross profit margins. Additionally, certain leasing arrangements allow customers to cancel, return, or upgrade the systems leased prior to the end of the lease term without incurring a financial penalty, which could have a material adverse effect on our business, financial condition, or results of operations. If systems that are not fully depreciated are returned, we could incur additional losses, as we may not be able to recover the remaining value of those returned assets, thereby negatively impacting our financial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leases, including usage-based arrangements, enable our customers to upgrade and get access to new technologies faster, it may also enable competitors to more easily induce customers to switch to such competitors’ systems. Furthermore, depending on the timing and terms of the upgrade transaction, the amount of revenue generated on the initial and upgraded lease arrangements may not, in the aggregate, generate the same amount of revenue that a traditional sale and trade-in transaction would.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RELIANCE ON SOLE- AND SINGLE-SOURCED SUPPLIERS AND ABILITY TO PURCHASE AT ACCEPTABLE PRICES A SUFFICIENT SUPPLY OF MATERIALS COULD HARM OUR ABILITY TO MEET PRODUCT DEMAND IN A TIMELY MANNER OR WITHIN BUDGET.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manufacture of our products requires the timely delivery of a sufficient amount of quality components and materials and is highly exacting and complex, due in part to complex trade and strict regulatory requirements. Some of the components necessary for the assembly of our products are currently provided to us by sole-sourced suppliers or single-sourced suppliers due to, among other things, quality considerations, unique intellectual property considerations, or constraints associated with regulatory requirements. We generally purchase components through purchase orders rather than long-term supply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and generally do not maintain large volumes of components within our inventory. While alternative suppliers exist and could be identified for single-sourced components, the disruption or termination of the supply of components, or inflationary pressure in our supply chain, could cause a significant increase in the costs of these components, which could affect our operating results. Certain of our sole-sourced suppliers or single-sourced suppliers could be adversely affected by the macroeconomic conditions. A disruption or termination in the supply of components could also result in our inability to meet demand for our products, which could harm our ability to generate revenues, lead to customer dissatisfaction, and damage our reputation and our brand. Furthermore, if we are required to change the manufacturer of a key component of our products, we may be required to verify that the new manufacturer maintains facilities and procedures that comply with quality standards and with all applicable regulations and guidelines. The time and processes associated with the verification of a new manufacturer could delay our ability to manufacture our products on schedule or within budget, which may have a material adverse impact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ability to meet customers’ demands depends, in part, on our ability to timely obtain an adequate delivery of quality materials, parts, and components from our suppliers. An information technology systems interruption, including cyberattacks, could adversely affect the ordering, distribution, and manufacturing processes of our suppliers. Furthermore, the prices of commodities and other materials used in our products, which are often volatile and outside of our control, and may be subject to tariffs, could adversely impact our supply. Current supply chain constraints include difficulties in obtaining a sufficient supply of specific component materials impacted by evolving trade requirements and certain subcontract suppliers being operationally challenged to meet our production requirements. For example, in 2025, the Chinese government announced export controls and licensing requirements applicable to certain products containing Chinese-origin rare earth elements and may implement additional controls in the future. Rare earth elements are critical to certain components contained in our products, and China is a predominant producer of these materials. If implemented in their current or a similar form, these measures may require us to obtain export licenses for certain of our products, and we may further experience supply chain disruptions as a result of limited availability of critical materials and minerals due to the restrictions. If such supply chain constraints continue, we could also fail to meet product demand, which would adversely impact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NEW PRODUCT DEVELOPMENTS AND INTRODUCTIONS MAY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develop and introduce new products with enhanced features and extended capabilities from time to time. We may introduce new products that target different customers than what our existing products target. The success of new product introductions depends on a number of factors including, but not limited to, timely and successful research and development, regulatory clearances, approvals, or certifications, establishment or maintenance of intellectual property rights, pricing, competition, consumer acceptance, effective forecasting and management of product demand, inventory levels, management of manufacturing costs and capacity, management of supply costs, including mitigation of unforeseen supply chain disruptions for materials and components, and the risk that new products may have quality or other defects in the early stages of introduction.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invest substantially in various research and development projects to expand our product offerings. Our research and development efforts are critical to our future success, and such research and development projects may not be successful. We may be unable to successfully develop and market new products, and the products we invest in and develop may not be well-received by customers or meet our expectations. Our research and development investments may not contribute to our future operating results for several years or ultimately generate significant operating income, and such future contributions may not meet our expectations or even cover the costs of such investments. In addition, the introduction or announcement of new products or product enhancements may shorten the life cycle of our existing products or reduce the demand for our current products, thereby offsetting any benefits of successful product introductions and potentially leading to challenges in managing our inventory of existing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are subject to various regulatory processes, and we must obtain and maintain regulatory approvals and certifications in order to sell our new products. If a potential purchaser believes that we plan to introduce a new product in the near future or is located in a country where a new product that we have introduced has not yet received regulatory clearance or certification, planned purchases may be deferred or delayed. In the past, we have experienced a slowdown in the demand for existing products in advance of new product introductions, and we may experience a slowdown in such demand in the future as well. It is also possible that a new product introduction could cause downward pressure on the prices of our existing products or require us to change how we sell our products, either of which could have material adverse effects on our revenues.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effectively develop new products and manage new product introductions in the future, our business, financial condition, or results of operations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MAY ENCOUNTER MANUFACTURING PROBLEMS OR DELAYS THAT COULD RESULT IN LOST REVENUE.</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Manufacturing our products is a complex process. We (or our critical suppliers) may encounter difficulties in scaling up or maintaining production of our products,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problems involving production yields;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quality control and assurance;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component supply shortages;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import or export restrictions on components, materials, or technology;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shortages of qualified personnel;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compliance with state, federal, and foreign regulations.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demand for our products exceeds our manufacturing capacity, we could develop a substantial backlog of customer orders. If we are unable to develop or maintain larger-scale manufacturing capabilities or build new manufacturing capabilities or facilities on schedule or within budget, our ability to generate revenue and maintain gross profit margins as expected will be limited and our reputation in the marketplace could be damaged, all of which may have a material adverse impact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we build new facilities for manufacturing capacity, the development of these facilities is subject to risks relating to our ability to complete our projects on schedule or within budget. Refer to our risk factor titled “We are subject to risks associated with real estate construction and development” for additional risks related to building our new manufacturing facilities.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after new manufacturing facilities are completed, we may encounter difficulties transferring our production lines from our existing facilities to the new facilities, which require qualification, validation, and regulatory approval and is subject to all of the risks highlighted above. Moreover, certain new manufacturing facilities are in foreign countries and in locations where we have not previously had manufacturing sites, both of which could increase the risks related to transferring our production lines. The facility transfers may require an increase in safety stock inventory to support the production line transfers, create a substantial backlog of customer orders, or increase costs while the production lines mature, all of which may have a material adverse impact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EXPECT GROSS PROFIT MARGINS TO VARY OVER TIME, AND CHANGES IN OUR GROSS PROFIT MARGINS COULD ADVERSELY AFFECT OUR BUSINESS, FINANCIAL CONDITION, OR RESULTS OF OPERATIONS.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gross profit margins have fluctuated from period to period, and we expect that they will continue to fluctuate in the future. Our gross profit margins may be adversely affected by numerous factors, including: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customer, geographic, or product mix, including the mix of systems sold or leased;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the mix of fixed-payment or usage-based operating lease arrangements;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the portion of sales involving a trade-in of another system and the amount of trade-in credits given;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introduction of new products, which may have lower margins than our existing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our inability to maintain or reduce production costs;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our pricing strategy;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fluctuations in foreign currency exchange rates;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competition;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production volume driven by demand for our products;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material, labor, or other manufacturing-related costs, including the impact of foreign exchange rate fluctuations for foreign currency-denominated costs;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to U.S. and foreign trade policies, such as the enactment of tariffs on goods imported into the U.S. including, but not limited to, potential tariffs on goods imported from Mexico where we manufacture a significant majority of our instruments and accessories that we sell;</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inventory obsolescence, which may result from maintaining significant inventories of raw materials, components, and finished goods;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product recall charges;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offset the unfavorable impact of the factors noted above by increasing the volume of products shipped, reducing product manufacturing costs, or otherwise, our business, financial condition, or results of operations may be adversely affected.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MACROECONOMIC CONDITIONS COULD MATERIALLY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Macroeconomic conditions, such as inflationary pressure, changes to monetary policy, elevated interest rates, volatile currency exchange rates, credit and sovereign debt concerns, concerns about slowed growth in China and other OUS markets, decreasing consumer confidence and spending, including capital spending, the introduction of or changes in tariffs or trade barriers, and global or local recessions can adversely impact demand for our products, which could negatively impact our business, financial condition, or results of operations. Recent macroeconomic conditions have been adversely impacted by geopolitical instability and military hostilities in multiple geographies (including the conflict between Russia and Ukraine and conflicts in the Middle East, including Israel and Iran), monetary and financial uncertainties, and the COVID-19 pandemic.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results of these macroeconomic conditions, and the actions taken by governments, central banks, companies, and consumers in response, have previously resulted in, and may again in the future result in, higher inflation in the U.S. and globally, which could, in turn, lead to an increase in costs and may cause changes in fiscal and monetary policy, including increases in interest rates. Other adverse impacts of recent macroeconomic conditions have been, and may continue to be, supply chain constraints, logistics challenges, liquidity concerns in the broader financial services industry, and fluctuations in labor availability.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and may continue to experience, supply chain constraints due to the current supply chain environment, including difficulties obtaining a sufficient supply of specific component materials used in our products. If interest rates remain elevated, access to credit may become more difficult, which may result in the insolvency of key suppliers, including single-source suppliers, which would exacerbate supply chain challenges. Cybersecurity breaches also remain a threat to our sustained supply continuity. Such supply chain constraints could cause us to fail to meet product demand, which could result in deferred or canceled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Adverse developments that affect financial institutions, transactional counterparties, or other third parties, or concerns or rumors about these events, have in the past led to, and may in the future lead to, market-wide liquidity problems. For example, in 2023, Silicon Valley Bank (“SVB”) was closed by the California Department of Financial Protection and Innovation. Similarly, other institutions have been, and may continue to be, swept into receivership. Uncertainty over liquidity concerns in the broader financial services industry may have unpredictable impacts to our business and our industry.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 higher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further into the future, as we may not be able to quickly or easily adjust pricing, reduce costs, or implement countermeasures. A higher inflationary environment can also negatively impact raw material, component, and logistics costs that, in turn, may increase the costs of producing and distributing our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hospitals and distributors may choose to postpone or reduce spending due to financial difficulties or difficulties in obtaining credit to finance purchases of our products due to elevated interest rates and restraints on credit. Hospitals and distributors may also be adversely affected by liquidity concerns in the broader financial services industry, as described above, that could result in delayed access or loss of access to uninsured deposits or loss of their ability to draw on existing credit facilities involving a troubled or failed financial institution. Certain hospitals have experienced, and may continue to experience, financial and operational pressures as a result of staffing constraints, other labor-related pressures, the supply chain environment, a decrease in government funding in healthcare, and elevated inflation, which could impact their ability to access capital markets and other funding sources, increase the cost of funding, or impede their ability to comply with debt covenants, all of which could impede their ability to provide patient care and impact their profitability. To the extent that hospitals face financial pressures, delayed access or loss of access to uninsured deposits, delayed access or loss of ability to draw on existing credit facilities, reductions in government spending, or higher interest rates, hospitals’ ability or willingness to spend on capital equipment may be adversely impacted, all of which could have a material adverse effect on our business, financial condition, or results of operations. Additionally, with economic uncertainty, an increase in unemployment rates, and increasing health insurance premiums, co-payments and deductibles may result in cost-conscious consumers pursuing fewer elective surgical procedures, which, in turn, could adversely affect procedure volumes and system demand.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unable to predict the impact of efforts by central banks and federal, state, and local governments to combat elevated levels of inflation. If their efforts to create downward pressure on inflation are too aggressive, they may lead to a recession. Alternatively, if they are insufficient or are not sustained long enough to bring inflation to lower, more acceptable levels, hospitals’ ability or willingness to spend on capital equipment may be impacted for a prolonged period of time. If a recession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occurs, economies weaken, or inflationary trends continue, our business and results of operations could be materially adversely affected.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INFORMATION TECHNOLOGY SYSTEM FAILURES, CYBERATTACKS, OR DEFICIENCIES IN OUR CYBERSECURITY COULD HARM OUR BUSINESS, CUSTOMER RELATIONS,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are critical to the success of our products, help us operate effectively and efficiently, interface with customers, maintain our supply chain and manufacturing operations, maintain financial accuracy and efficiency, and help us produce our Annual Report on Form 10-K and other filings with the Securities and Exchange Commission. If we do not allocate and effectively manage the resources necessary to build and sustain the proper information technology infrastructure, we could be subject to transaction errors, processing inefficiencies, loss of existing customers, difficulties in attracting new customers, business operation disruptions, diversion of the attention of management and key information technology resources, security breaches, or the unauthorized access to, loss of, or damage to intellectual property, confidential information, or personal information. Our information technology systems, and those of our third-party service providers, strategic partners, and other contractors or consultants, are vulnerable to attack, damage, or interruption from a variety of sources. These sources include computer viruses and malware (e.g., ransomware), malicious code, hacking, cyberattacks, phishing attacks and other social engineering schemes, employee theft or misuse, human error, fraud, natural disasters, terrorism, war, telecommunication and electrical failures, denial or degradation of service attacks, sophisticated nation-state and nation-state-supported actors, or unauthorized access or use by persons inside our organization, or persons with access to systems inside our organization. Cyberattacks and other security breaches or disruptions continue to increase in frequency, sophistication, and intensity and are becoming increasingly difficult to detect for periods of time, especially as they relate to attacks on third-party providers or their vendors. Such attacks are often carried out by motivated and highly skilled actors, who are increasingly well-resourced. Techniques used to compromise or sabotage systems, including the use of advanced technologies, such as machine learning or generative artificial intelligence (“AI”), change frequently, may originate from less regulated and remote areas of the world, may be difficult to detect, and generally are not recognized until after they are launched against a target. As a result, we may be unable to anticipate these techniques or implement adequate preventative measures. If our information technology systems, or those of our critical third-party vendors, do not effectively and securely collect, store, process, and report relevant data for the operation of our business, our ability to effectively plan, forecast, and execute our business plan and comply with applicable laws and regulations could be impaired. Any such impairment could materially and adversely affect our financial condition, results of operations, and the timeliness with which we report our internal and external operating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requires us to use and store confidential information, including customer, employee, and business partner personal information, as well as other proprietary information and business data. We have implemented various controls, systems, and processes intended to secure our information technology systems and the information on it. We also have programs in place to detect, contain, and respond to data security incidents, and we make ongoing improvements to our information-sharing products designed to minimize vulnerabilities. However, we cannot guarantee that these measures will be effective or that attempted security breaches or disruptions would not be successful or damaging to our information technology systems and information. These security measures may be compromised as a result of security breaches by unauthorized persons, employee error, malfeasance, faulty password management, or other irregularity and result in persons obtaining unauthorized access to our data or accounts. Third parties may attempt to fraudulently induce employees or customers into disclosing usernames, passwords, or other sensitive information or otherwise attempt to hack into our information technology systems to obtain personal data relating to patients or employees, our confidential or proprietary information, or confidential information we hold on behalf of third parties. In addition, with the prolific use of AI technologies, there is an increased risk of unauthorized or accidental disclosure. For example, our employees, third-party service providers, strategic partners, or other contractors or consultants may input inappropriate or confidential information into an AI system (in particular, a system that is managed, owned, or controlled by a third party), thereby compromising our business operations. Even if the vulnerabilities that may lead to the foregoing are identified, we may be unable to adequately investigate or remediate due to attackers increasingly using tools and techniques that are designed to circumvent controls, avoid detection, and remove or obfuscate forensic evidence. The occurrence of any of these events may cause business operation disruptions, diversion of the attention of management and key information technology resources, and possibly lead to security breaches of, or the unauthorized access to, our confidential information or other business data. If the unauthorized persons successfully hack into or interfere with our connected products or services, they may create issues with product functionality that could pose a risk of the loss of data, a risk to patient safety, and a risk of product recall or field action, which could adversely impact our business and reputation. We may also face increased cybersecurity risks due to our reliance on internet technology and the number of our employees who are working remotely, which may create additional opportunities for cybercriminals to exploit vulnerabilities.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above, we also rely on external vendors to supply and/or support certain aspects of our information technology systems. The systems of these external vendors may contain defects in design or other problems that could unexpectedly compromise the security of our own information technology systems and information, and we are dependent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third parties to deploy appropriate security programs to protect their systems. In addition to potential exposure to data breaches, security and cybersecurity incidents, or other actions that may compromise the security of or interfere with the function of our systems, defects or vulnerabilities in the software or systems of our external vendors may expose failures in our internal controls and risk management processes, which may adversely impact our business, financial condition, or results of operations and may also harm our reputation, brand, and customer relationships.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to date, no cyberattacks or security breaches and incidents have had a material impact on our operations or financial results, if such an event were to occur, it could impair our ability to attract and retain customers, impact the price of our stock, materially damage commercial relationships, and expose us to litigation or government investigations, which could result in penalties, fines, or judgments against us. The costs to us to eliminate or alleviate network security problems, bugs, viruses, worms, ransomware and other malicious software programs, and security vulnerabilities could be significant. Our efforts to address these problems may not be successful and could result in unexpected interruptions, delays, cessation of service, and harm to our business operations. Moreover, if a security breach affects our systems or results in the unauthorized release of personal information, our reputation and brand could be materially damaged, and use of our products and services could decrease. We would also be exposed to a risk of loss, litigation and potential liability, and regulatory scrutiny, which could have a material adverse impact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we may implement changes to information technology systems that could have significant impacts on our manufacturing, sales, and finance functions, among other teams. These impacts may include, but are not limited to, (i) operational disruptions resulting from the slow adaptation of the new information technology systems by employees, whether due to inadequate training or resistance to change, or data loss during the transition to the updated information technology system, including critical customer data, or improper planning leading to the loss of essential software features needed for specific business requirements; (ii) inaccurate financial reporting due to inaccurate data transfer or technical issues; (iii) financial losses due to system failures or cost overruns; (iv) security risks involving potential data breaches, unauthorized access, or loss of sensitive information; (v) compliance risks arising should the updated technology fail to meet regulatory requirements or industry standards; and (vi) strategic risks if the technology implementation fails to deliver the expected benefits.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maintain cyber insurance coverage that is intended to address data security risks, such insurance coverage may be insufficient to cover all losses or claims that may arise.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IF OUR PRODUCTS DO NOT ACHIEVE AND MAINTAIN CUSTOMER ACCEPTANCE, WE WILL NOT BE ABLE TO GENERATE THE REVENUE NECESSARY TO SUPPORT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systems, Ion endoluminal system, and many of our other products represent a novel and advanced approach to performing medical procedures. Achieving and maintaining physician, patient, and third-party payor acceptance of robotic-assisted medical procedures as a preferred method of performing these procedures is crucial to our success. If our products fail to achieve or maintain customer acceptance, customers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techniques. Even if we can prove the effectiveness of our products through clinical studies, physicians may elect not to use our products for any number of other reasons. For example, cardiologists may continue to recommend conventional heart surgery simply because such surgery is already widely accepted. In addition, physicians may be slow to adopt our products because of the perceived liability risks arising from the use of new products and the uncertainty of reimbursement from third-party payors, particularly in light of the evolving U.S. healthcare environment.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Broad use of our products requires thorough training of patient care teams on their safe and effective use. We expect that there will continue to be a learning process involved for such care teams to become proficient in the use of our products. Customer acceptance could be delayed by the time required to complete this training. We may not be able to rapidly train patient care teams in numbers sufficient to generate adequate demand for our products.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IF HOSPITALS ARE UNABLE TO OBTAIN COVERAGE AND REIMBURSEMENT FOR PROCEDURES USING OUR PRODUCTS, IF REIMBURSEMENT IS INSUFFICIENT TO COVER THE COSTS OF PURCHASING OUR PRODUCTS, OR IF LIMITATIONS ARE IMPOSED BY GOVERNMENTS ON THE AMOUNT HOSPITALS CAN CHARGE FOR CERTAIN PROCEDURES, WE MAY BE UNABLE TO GENERATE SUFFICIENT SALES TO SUPPORT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hospitals generally bill for the services performed with our products to various third-party payors, such as Medicare, Medicaid, other government programs, and private insurance plans. If hospitals do not obtain sufficient reimbursement from third-party payors for procedures performed with our products, or if government and private payors’ policies do not cover surgical procedures performed using our products, we may not be able to generate the revenues necessary to support our business. In addition, to the extent that there is a shift from inpatient settings to outpatient settings,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experience pricing pressure and a reduction in the number of procedures performed. Our success in OUS markets also depends on the eligibility of our products for coverage and reimbursement through government-sponsored healthcare payment systems and third-party payors. Reimbursement practices vary significantly by country. Many OUS markets have government-managed healthcare systems that control reimbursement for new products and procedures. Other foreign markets have both private insurance systems and government-managed systems that control reimbursement for new products and procedures. Acceptance of our products may depend on the availability and level of coverage and reimbursement in a country within a particular time. In addition, healthcare cost containment efforts similar to those in the U.S. are prevalent in many of the other countries in which we sell, and intend to sell, our products, and these efforts are expected to continue. Refer to our risk factor titled “Changes in healthcare legislation and policy may have an adverse effect on our business, financial condition, or results of operations” for additional risks related to the ability of hospitals to obtain reimbursements.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China, since 2022, several provinces have implemented significant limits on what hospitals can charge patients for surgeries using robotic surgical technology, including soft tissue surgery. To date, these limits have impacted the number of procedures performed in those provinces as well as pricing of our instruments and accessories, which have impacted our instruments and accessories revenue. Companies providing robotic surgical technology, including our joint venture in China, have been meeting with Chinese government healthcare agencies to discuss these developments and to provide feedback. We cannot assure you that additional provincial or national healthcare agencies and administrations will not impose similar limits, and we expect to continue to face increased pricing pressure, both of which could further impact the number of procedures performed and our instruments and accessories revenue in China.</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IF OUR PRODUCTS CONTAIN DEFECTS OR ENCOUNTER PERFORMANCE PROBLEMS, WE MAY HAVE TO RECALL OUR PRODUCTS AND OUR REPUTATION MAY SUFFER.</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on the quality and reliability of our products. While we subject components sourced and products manufactured to stringent quality specifications and processes, our products incorporate mechanical parts, electrical components, optical components, and computer software, any of which may contain errors or exhibit failures, especially when products are first introduced. Component failures, manufacturing flaws, design defects, or inadequate disclosure of product-related risks with respect to our products could result in an unsafe condition for, injury to, or death of a patient. In addition, new products or enhancements may contain undetected errors or performance problems that, despite testing, are discovered only after commercial shipment. Because our products are designed to be used to perform complex medical procedures, due to the serious and costly consequences of product failure, we and our customers have an increased sensitivity to such defects. In the past, we have voluntarily recalled certain products. Although our products are subject to stringent quality processes and controls, we cannot provide assurance that our products will not experience component aging, errors, or performance problems. If we experience product flaws or performance problems, any or all of the following could occur: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delays in product shipments;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loss of revenue;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delay in customer acceptance;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diversion of our resources;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damage to our reputation;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product recalls, including, but not be limited to, product withdrawals from the market, labeling changes, design changes, customer notifications, and notifications to global regulatory bodies;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regulatory actions;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increased service or warranty costs;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product liability claims.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Costs associated with defects or performance problems of our products could have a material adverse effect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UTILIZE DISTRIBUTORS FOR A PORTION OF OUR SALES AND SERVICE OF OUR PRODUCTS IN CERTAIN COUNTRIES, WHICH SUBJECTS US TO A NUMBER OF RISKS THAT COULD HARM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strategic relationships with several key distributors for the sale and service of our products in certain countries. If these strategic relationships are terminated and not replaced, our revenues and/or ability to sell or service our products in the markets serviced by these distributors could be adversely affected. In addition, we may be named as a defendant in lawsuits against our distributors related to sales or service of our products performed by them. Refer to our risk factor titled “We are subject to litigation, investigations, and other legal proceedings relating to our products, customers, competitors, and government regulators that may adversely affect our business, financial condition, or results of operations.” Our distributors may affect our ability to effectively market our products in certain countries or regulatory jurisdictions if a distributor holds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regulatory authorization or certification in such countries or within such regions and causes, by action or inaction, the suspension of such marketing authorization or certification or sanctions for non-compliance. It may be difficult, expensive, and time-consuming for us to re-establish access or regulatory compliance in such cases.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THE FAILURE TO ATTRACT AND RETAIN KEY PERSONNEL COULD HARM OUR ABILITY TO COMPETE, AND CHANGES IN OUR EXISTING LABOR RELATIONSHIPS COULD MATERIALLY ADVERSELY IMPACT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highly dependent on the principal members of our management and scientific staff. For example, our product development plans depend, in part, on our ability to attract and retain software, mechanical, electrical, manufacturing, and robotics engineers. Attracting and retaining qualified personnel is critical to our success, and competition for qualified personnel is intense. We may not be able to attract and retain personnel on acceptable terms given the constrained labor market and competition for such personnel. Furthermore, as competition intensifies, there is an increased risk that our current or emerging competitors may attempt to hire our key personnel, which could be achieved through offers of substantial financial incentives or strategic opportunities, aiming to capitalize on their knowledge to accelerate their own product development initiatives. In addition, many of our tenured employees are retirement eligible and have significant historical knowledge or expertise that must be transferred to other employees. If we are unable to effectively safeguard our human capital or mitigate the risks associated with knowledge transfer, our business, financial condition, or results of operations could be adversely impacted, and there could be a detrimental effect on our competitive position.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as a result of any volatility in our stock price, certain long-term incentive benefits, such as stock-based compensation, may be viewed as having less value and, accordingly, could lead to higher attrition. Moreover, we may also encounter higher costs of labor through recruiting expenses, wages, retention benefits, or the potential existence of different employee/employer relationships, such as work councils and/or labor unions. We could also be subject to union or council efforts to organize our employees. These organizational efforts, if successful, decrease operational flexibility and could adversely affect our operating efficiency. In addition, our response to any organizational efforts could be perceived negatively and harm our business and reputation.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extent and duration of the impact of labor market challenges are subject to numerous factors, including the availability of qualified and highly skilled persons in the markets where we operate and unemployment levels within these markets, behavioral changes, prevailing wage rates, health and other insurance and benefit costs, inflation, adoption of new or revised employment and labor laws and regulations or government programs, safety levels of our operations, and our reputation within the labor market.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a critical contributor to our success has been our corporate culture, which we believe fosters innovation, teamwork, and a focus on execution, as well as facilitates critical knowledge transfer and knowledge sharing.</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INCORPORATING ARTIFICIAL INTELLIGENCE TECHNOLOGIES INTO OUR PRODUCTS, SERVICES, AND OPERATIONS MAY RESULT IN LEGAL AND REGULATORY RISKS OR HAVE OTHER ADVERSE CONSEQUENCES TO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current operations, products, and services use AI technologies, including proprietary machine learning and AI algorithms and models. Examples of our current uses of AI and machine learning include (i) using algorithms to process video and machine data to identify surgical activities and surgical indicators to support learning, teaching, and practice management, and (ii) using algorithms to support surgical planning and navigation. Future innovations in our products and services will likely continue to incorporate AI, and these applications may become important in our operations over time, for example, our development of machine learning-enabled medical devices (“MLMDs”). As with many technological innovations, there are significant risks and challenges involved in maintaining and deploying these technologies, and there can be no assurance that the usage of such technologies will enhance our products or services or be beneficial to our business, including our efficiency or profitability.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continue to maintain or use such technologies may be dependent on access to specific third-party software and infrastructure, such as processing hardware, and we cannot control the availability or pricing of such third-party software and infrastructure, especially in a highly competitive environment. Our products and services may not compete effectively with alternative products and services if we are not able to source and integrate the latest technologies into our products and services. In addition, several aspects of intellectual property protection in the field of AI are currently under development, and there is uncertainty and ongoing litigation in different jurisdictions as to the degree and extent of protection warranted for AI technologies and relevant system input and outputs.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financial condition, or results of operations. Refer to our risk factor titled “If we are unable to fully protect and successfully defend our intellectual property from use by third parties, our ability to compete may be harmed” for additional risks related to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regulatory landscape surrounding AI is also evolving, and the use of machine learning technologies may expose us to an increased risk of regulatory enforcement and litigation. As the FDA and other regulatory authorities continue to develop and incorporate such principles into their regulation of MLMDs, it is possible that medical products using AI and machine learning will become subject to significant additional oversight, including with respect to premarket review, modification, monitoring, maintenance, and device performance.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legislation related to AI technologies has been introduced at the federal level and has been enacted by various states. At the federal level, in January 2025, the Trump administration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Additionally, in December 2025, the Trump administration’s “Ensuring a National Policy Framework for Artificial Intelligence” Executive Order was signed. This order calls for federal standards and legislation that would preempt conflicting state AI regulations and create a federal litigation task force focused on challenging state AI laws in court. The Trump administration may continue to rescind other existing federal orders and/or administrative policies relating to AI technologies or may implement new executive orders and/or other rule making relating to AI technologies in the future. U.S. states continue to advance a patchwork of AI regulatory frameworks, including general requirements around transparency, risk-management, and accountability for AI technologies. Several states—such as Colorado, California, and Connecticut—have enacted or proposed laws governing high-risk AI uses, including rules that address algorithmic discrimination, impact assessments, and consumer disclosures. A growing subset of these efforts specifically target health-related AI, with states like Illinois and New York adopting provisions that regulate AI used in clinical decision-support, diagnostics, and other health-related functions, often requiring heightened testing, documentation, or oversight. Such additional regulations, and uncertainty around their enforceability, may impact our ability to develop, use, and commercialize AI technologies in the future.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Apart from the U.S., policymakers in key jurisdictions, such as the EU, are actively working on legislation and regulations to encourage the development and use of ethical and safe AI technologies. For example, the EU Artificial Intelligence Act (“EU AI Act”), entered into force on August 1, 2024, establishes a comprehensive, risk-based governance framework for AI in the EU market. The majority of the substantive requirements of the EU AI Act will apply from August 2, 2026. The EU AI Act applies to companies that develop, use, and/or provide AI in the EU and, depending on the AI use case, 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revised EU Product Liability Directives will have a material impact on the way AI is regulated in the EU. Further, in Europe, we are subject to the General Data Protection Regulation (“GDPR”), which regulates our use of personal data for automated decision making that results in a legal or similarly significant effect on an individual and provides rights to individuals in respect of that automated decision making. Recent case law from the CJEU has taken an expansive view of the scope of the GDPR’s requirements around automated decision-making and introduced uncertainty in the interpretation of these rules. The EU AI Act and developing interpretation and application of the GDPR in respect of automated decision-making, together with developing guidance and/or decisions in this area, may affect our use of AI technologies and our ability to provide, improve, or commercialize our business, require additional compliance measures and changes to our operations and processes, result in increased compliance costs and potential increases in civil claims against us, and could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jurisdictions where we operate have already or are also expected to introduce guidelines and regulations around the use of AI within the next few years. The cost to comply with such laws, regulations, decisions, and/or guidance interpreting existing laws, or to adjust our business plans based on changes to how such laws are enforced,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breach or failure in our security measures could occur from a variety of circumstances and events, including third-party action, employee negligence or error, malfeasance, computer viruses, cyberattacks, or ransom-related attacks by computer hackers, failures during the process of upgrading or replacing software and databases, power outages, hardware failures, telecommunication failures, user errors, or catastrophic events, and any of the foregoing events could have a material adverse effect on our business, financial condition, or results of operations. For more information on risks associated with the processing of confidential and sensitive information, including personal information, refer to our risk factor titled “Information technology system failures, cyberattacks, or deficiencies in our cybersecurity could harm our business, customer relations,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Though we have taken steps to be thoughtful in our development, training, implementation, and use of AI and machine learning technologies, including taking steps to comply with the laws and frameworks discussed above that are currently in effect, our AI and machine learning-related processing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the MLMDs, the potential for bias or inaccuracies in the data used to train the MLMDs, the potential for improper processing of personal information that could lead to deprecation of our algorithms, and the potential for cybersecurity breaches that could compromise patient data or device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NEGATIVE PUBLICITY, WHETHER ACCURATE OR INACCURATE, CONCERNING OUR PRODUCTS OR OUR COMPANY COULD REDUCE ACCEPTANCE OF OUR PRODUCTS AND COULD RESULT IN DECREASED PRODUCT DEMAND AND REDUCED REVENUES.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reports and articles published questioning patient safety and efficacy associated with robotic-assisted surgery with da Vinci surgical systems, their cost relative to other disease management methods, and the adequacy of surgeon training. Negative publicity, including statements made by public officials, whether accurate or inaccurate, concerning our products or our Company could reduce acceptance of our products and could result in decreased product demand and a decline in revenues. In addition, significant negative publicity could result in an increased number of product liability claims, regardless of whether these claims are meritorious. The number of claims could be further increased by plaintiffs’ law firms that use a wide variety of media to advertise their services and solicit clients for product liability cases against us.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COULD BE SUBJECT TO SIGNIFICANT, UNINSURED LOSSES, WHICH MAY HAVE A MATERIAL ADVERSE IMPACT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certain risks, we do not maintain insurance coverage due to cost and/or availability. For example, we self-insure our product liability risks. We also indemnify our directors and officers for third-party claims but do not carry insurance beyond basic Side A liability coverage to cover that indemnity or the related underlying potential losses. Furthermore, we do not carry, among other types of coverage, earthquake insurance. In the future, we may not continue to maintain certain existing insurance coverage or adequate levels of coverage. Premiums for many types of insurance have increased significantly in recent years and, depending on market conditions and our circumstances, certain types of insurance, such as directors’ and officers’ insurance, may not be available in the future on acceptable terms or at all. Because we retain some portion of our insurable risks and, in some cases, we are entirely self-insured, unforeseen or catastrophic losses in excess of insurance coverage could require us to pay substantial amounts, which may have a material adverse impact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EXPERIENCE LONG AND VARIABLE CONTRACTING CYCLES AND SEASONALITY IN OUR BUSINESS, WHICH MAY CAUSE FLUCTUATIONS IN OUR FINANCIAL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contracting cycle of our systems is lengthy, because the systems are major capital items and their purchase generally requires the approval of senior management of hospitals, their parent organizations, purchasing groups, and/or government bodies. In addition, sales to some of our customers are subject to competitive bidding or public tender processes. These approval and bidding processes can be lengthy. As a result, hospitals may delay or accelerate system purchases in conjunction with the timing of their capital budget timelines. Further, IDN groups are creating larger networks of system users with increasing purchasing power and are increasingly evaluating their robotic-assisted programs to optimize the efficiency of medical procedures using our systems. Also, the introduction of new products could adversely impact our contracting cycle as customers take additional time to assess the benefits and costs of such products. As a result, it is difficult for us to predict the length of contracting cycles and, therefore, the exact timing of capital sales. Historically, placements of our da Vinci surgical systems have tended to be heavier in the fourth quarter and lighter in the first quarter, as hospital budgets are reset.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experienced higher procedure growth for a number of benign conditions, including cholecystectomies, hernia repairs, hysterectomies, and certain other surgeries. Many of these types of surgeries may be postponed in the short term by patients to avoid vacation periods and for other personal scheduling reasons. Patients may also accelerate procedures to take advantage of insurance funding cut-off dates. Historically, we have experienced lower procedure volume growth from the prior quarter in the first and third quarters of the year and higher procedure volume growth from the prior quarter in the second and fourth quarters of the year. The timing of procedures and changes in procedure growth directly affect the timing of instruments and accessories and capital purchases by customers.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above factors may contribute to substantial fluctuations in our quarterly operating results. Because of these fluctuations, it is possible that, in future periods,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THIRD PARTIES MAY OFFER TO SELL REMANUFACTURED OR UNAUTHORIZED INSTRUMENTS AND ACCESSORIES TO OUR CUSTOMERS OR PROVIDE UNAUTHORIZED SERVICE ON OUR SYSTEMS, WHICH COULD ADVERSELY IMPACT SAFETY, OUR FINANCIAL RESULTS, AND OUR REPUTATION.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revenue is generated through sales of instruments and accessories. Third parties have offered, and may continue to offer, customers counterfeit instruments and accessories and/or instruments and accessories that have been remanufactured and/or are unauthorized, including instruments that have been remanufactured to support the use of some of our limited-use instruments beyond their labeled useful life. As of the filing date, we are aware that the FDA has granted 510(k) clearance for the remanufacturing of certain of these instruments for use with our da Vinci Si, da Vinci X, and da Vinci Xi surgical systems. Additionally, third parties have provided, and may continue to provide, unauthorized service and maintenance on our da Vinci surgical systems and Ion endoluminal system.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generally do not approve the use by our customers of unauthorized and unapproved instruments and accessories that lack FDA clearance or other applicable regulatory approval or certification with our systems or the unauthorized service or maintenance on our systems, such activities could potentially result in reduced revenue, increased patient safety risks, and negative publicity for us if these products cause injuries and/or do not function as intended when used, any of which could have a material adverse effect on our business, financial condition, or results of operations. In addition, we may be subject to laws that regulate or attempt to regulate the manner in which third-party instruments and accessories or third-party service providers interact with our systems, and such laws could also negatively impact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BUSINESS IS SUBJECT TO COMPLEX AND EVOLVING LAWS AND REGULATIONS REGARDING DATA PRIVACY, DATA PROTECTION, ARTIFICIAL INTELLIGENCE, AND RESPONSIBLE USE OF DATA, AND ANY FAILURE TO COMPLY MAY RESULT IN SIGNIFICANT LIABILITY, NEGATIVE PUBLICITY, AND/OR EROSION OF TRUST, WHICH MAY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running our business, we receive, store, use, and otherwise process information that relates to individuals and/or constitutes “personal data,” “personal information,” “personally identifiable information,” or similar terms under applicable data privacy laws. There are numerous laws and regulations that govern the personal data Intuitive generates, collects, shares, and processes on behalf of itself and/or its customers. In addition to U.S. federal and state privacy laws, there are various comprehensive privacy laws across the globe that we are or may become subject to and that impact our business whether related to customers, employees, products, clinical trials, recruitment, or product research and development. All of these laws and regulations necessitate significant expenditures and resources. We may be subject to significant consequences, including penalties, fines, restrictions on processing personal information, and/or reputational harm for a data breach or failure to comply with such legal requirements.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in the EU, the GDPR requires controllers and processors of data relating to an identifiable living individual or “personal data” to adhere to certain key principles whenever accessing or processing personal data. The GDPR imposes comprehensive data privacy compliance obligations in relation to our collection and use of personal data, including a principle of accountability and the obligation to demonstrate compliance through policies, procedures, training, and audit, as well as regulating cross-border transfers of personal data out of the EEA and the UK.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The GDPR provides that EEA member states may, in some circumstances, make their own laws that are more restrictive or prescriptive than GDPR, as has occurred in France and Germany. Failure to comply with the requirements of the GDPR and the applicable EEA member state laws may result in significant fines, regulatory investigations, reputational damage, orders to cease/change our data processing activities, enforcement notices, assessment notices (for a compulsory audit), and/or civil claims (including class actions). Compliance with data protection obligations imposed by the GDPR and EEA member state laws may be onerous and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the privacy laws in our direct and indirect markets including, but not limited to, South Korea, Japan, Taiwan, India, Brazil, Canada, and the UK.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HIPAA imposes privacy, security, and breach notification obligations on covered entities and their business associates to ensure the confidentiality, integrity, and availability of individually identifiable health information. Entities that are found to be in violation of HIPAA, as a result of a breach of unsecured protected health information, a complaint about privacy practices, or an audit by the U.S. Department of Health and Human Services (“HHS”), may be subject to significant civil, criminal, and administrative fines and penalties and/or additional reporting and oversight obligations if they are required to enter into a resolution agreement and corrective action plan with HHS through settlement agreements.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Further, in the U.S., when HIPAA does not apply, according to the Federal Trade Commission (the “FTC”), violating consumers’ privacy rights or failing to take appropriate steps to keep consumers’ personal information secure may constitute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unfair and/or deceptive acts or practices in violation of Section 5(a) of the FTC Act. Additionally, federal and state consumer protection laws are increasingly being applied by the FTC and states’ attorneys general to regulate the collection, use, storage, and disclosure of personal information, through websites or otherwise, and to regulate the presentation of website content.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state level, multiple states have comprehensive consumer privacy laws enacted. Notably, the California Consumer Privacy Act, as amended by the California Privacy Rights Act (“CCPA”) gives California residents expanded rights to access, correct, and delete their personal information, opt out of certain personal information sharing, and receive detailed information about how their personal information is used. The CCPA allows for significant fines by the California attorney general as well as a private right of action from individuals in relation to certain security breaches. Similar laws have been enacted in other states and are continuing to be proposed at the state and federal level, reflecting the continuing trend toward more stringent privacy legislation in the U.S. These developments are increasing our compliance obligations and risk, including risks of regulatory fines, litigation, and associated reputational harm.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China, we are also subject to various aspects of the country’s data compliance regime, including the Cybersecurity Law, the Data Security Law, and the Personal Information Protection Law (“PIPL”). In addition to national laws, regulatory departments, provincial and municipal governments, and Free Trade Zones are left to identify “important data,” the definitions of which may impact our reporting, data protection, and data transfer obligations. Draft guidelines related to medical device and equipment data from the State Administration for Market Regulation and other unpublished rules and guidelines from other regulatory departments may impact Onsite data collection and transfers. With the possibility of more stringent medical data transfer rules in China, customers’ appetite for our digital products including Onsite, Telepresence, and Case Insights may become impacted in the future.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failure, or perceived failure, by us or our vendors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and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or our reputation with customers. For example, some countries have adopted laws mandating that some personal information regarding customers in their country be maintained solely in their country. Having to maintain local data centers and redesign products, services, and business operations to limit personal information processing to within individual countries could increase our operating costs significantly.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European Strategy for Data includes a collection of laws focused on ensuring fundamental principles (including doing business in an ethical way, respecting fundamental rights of individuals, not exploiting individuals, and transparency in collection and use of data) are promoted and adhered to in support of innovation for the benefit of the community. In particular, the AI Act, European Health Data Space Regulation, and Data Act and Data Governance Acts regulate personal and non-personal data as well as artificial intelligence. These obligations may be interpreted in ways that require us to modify our business practices and products to maintain compliance, potentially increasing costs and operational complexity.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some of the AI features of our products involve, or may involve, the processing of personal data and may be subject to laws, policies, legal obligations, and codes of conduct related to privacy and data protection, each of which may be interpreted in ways that may affect the way in which we engage with machine learning and require us to make changes to our business practices and products to comply with such obligations. Our use of AI technologies may involve the storage and transmission of confidential or sensitive information, including personal information of employees, customers, and others, as well as protected health information of clients’ patients. In addition, due to the sensitive nature of the information, the security features of our computers and systems, network, and communications systems infrastructure are critical to the success of our business.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ONGOING AND FUTURE GLOBAL CONFLICTS COULD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Disruptions caused by ongoing or future global conflicts, including those resulting from conflicts affecting or in close proximity to countries and regions in the Middle East, may result in extended lead times, delays in supplier deliveries, and increasing freight costs. The risk of supply disruptions may further result in delays in the delivery of our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in February 2022, armed conflict escalated between Russia and Ukraine. Russia’s military actions against Ukraine have resulted in substantial expansion of sanction programs imposed by the United States, the EU, and other countries against Russia, Belarus, the Crimea Region of Ukraine, the so-called Donetsk People’s Republic, and the so-called Luhansk People’s Republic. In response, the Russian authorities imposed significant currency control measures, restrictions on transacting with non-Russian parties, export controls, and other economic and financial restrictions. Related sanctions, export controls, or other actions that may be initiated by countries including the U.S., the EU, or Russia (e.g., potential cyberattacks,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disruption of energy flows, etc.) could adversely affect the global economy, financial markets, energy supply and prices, certain critical materials and metals, supply chains, and global logistics and could adversely affect our business, financial condition and liquidity,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length, impact, and outcome of ongoing military conflicts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an increase in global shipping expenses, greater volatility in foreign exchange and interest rates, an increase in cyberattacks and espionage, and other unforeseen business disruptions. The extent and duration of the military action, sanctions, other consequences, such as restrictions on transactions or banning the export of energy products, including natural gas, and the resulting market disruptions could be significant and could potentially have substantial impact on the global economy and our business for an unknown period of time. Impacts to our business may include, but are not limited to, a reduction in procedures performed, reduced demand for our products, limitations on hospitals’ ability to spend on capital equipment and in healthcare spending in general, and supply disruption. Any such disruption may also magnify the impact of other risks described in this “Risk Factors” section.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DISRUPTIONS AT THE FDA AND OTHER GOVERNMENT AGENCIES OR NOTIFIED BODIES COULD PREVENT OUR PRODUCTS FROM BEING CLEARED, CERTIFIED, APPROVED, OR COMMERCIALIZED IN A TIMELY MANNER OR AT ALL, OR COULD HINDER THEIR ABILITY TO PROCURE OUR PRODUCTS, WHICH MAY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Hospitals, health systems, and physicians depend on a number of government agencies and services to effectively deliver healthcare to their patients. A prolonged government shutdown could impact inspections, regulatory review and certifications, grants, or approvals or could cause other situations that could impede their ability to effectively deliver healthcare, including attempts to reduce payments and other reimbursements to hospitals by federal healthcare programs. These situations could adversely affect our customers’ ability to perform procedures with our devices and/or their decisions to purchase additional products from 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ability of the FDA, foreign authorities, and notified bodies to review and clear, approve, or certify new products can be affected by a variety of factors, including government budget and funding levels, the ability to hire and retain key personnel and accept the payment of user fees, and statutory, regulatory, and policy changes. In addition, government funding of government agencies or other activities that fund research and development is subject to the political process, which is inherently fluid and unpredictable. Disruptions at the FDA and other agencies or notified bodies, including a prolonged government shutdown, may cause significant regulatory delays and, therefore, delay our efforts to seek clearances, approvals, or certifications from the FDA, foreign authorities, and notified bodies and adversely affect business travel and the import and export of products, all of which could have a material adverse effect on our business, financial condition, or results of operations. For example, over the last several years, the U.S. government has shut down several times, and certain regulatory agencies, such as the FDA, have had to furlough critical FDA employees and stop critical activities. Furthermore, the ability of certain of our government customers to procure our products is subject to appropriations or spending approvals. Accordingly, government shutdowns or funding interruptions could delay or reduce the ability of these customers to complete purchasing or tender processes for our systems, potentially affecting the timing or volume of such sales.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EU, notified bodies must be officially designated to certify products and services in accordance with the EU MDR. Their designation process, which is significantly stricter under the EU MDR, has experienced considerable delays in the recent years. Despite the increase in designations, the current number of notified bodies designated under the EU MDR remains significantly lower than the number of notified bodies designated under the previous regime. The current designated notified bodies are, therefore, facing a backlog of requests, and review times have lengthened. This situation could impact our ability to grow our business in the EU and EEA. This situation may also impact the way we are conducting our business in the EU and the EEA and the ability of our notified body to timely review and process our regulatory submissions and perform its audits.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 prolonged government shutdown occurs, or if funding shortages, staffing limitations, or similar factors hinder or prevent the FDA or other regulatory authorities from conducting their regular inspections, reviews, or other regulatory activities, such events could significantly impact the ability of the FDA, other regulatory authorities, or notified bodies to timely review and process our regulatory submissions, which may have an adverse effect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PUBLIC HEALTH CRISES OR EPIDEMIC DISEASES, OR THE PERCEPTION OF THEIR EFFECTS, COULD MATERIALLY ADVERSELY AFFECT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global operations expose us to risks arising from public health crises and outbreaks of epidemic, pandemic, or contagious diseases, such as, historically, the COVID-19 pandemic, the Ebola virus, Middle East Respiratory Syndrome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(MERS), Severe Acute Respiratory Syndrome (SARS), and the H1N1 virus. These public health crises can divert medical resources and priorities toward disease treatment and adversely affect global economies and financial markets, which can negatively impact the number of procedures performed and our customers’ capital expenditures. Furthermore, public health crises can cause significant business disruptions, including temporary closures of our facilities and those of our suppliers, as well as reduced access to customers due to measures like travel restrictions. These impacts can have a material adverse effect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the COVID-19 pandemic, which first emerged in late 2019, adversely impacted our operations, supply chains, and expenses. These impacts resulted from a number of impacts and measures, including, but not limited to, healthcare customers diverting resources and priorities towards disease treatment, hospital staffing shortages and supply chain disruptions that impaired their ability to provide patient care, and precautionary measures implemented by governments, businesses, and ourselves. Due to these factors, we experienced significant and unpredictable reductions in the demand for our products as customers delayed or canceled planned procedures and capital expenditures. Furthermore, the COVID-19 pandemic also caused widespread business disruptions, including travel restrictions, reduced access to our customers, and temporary closures of our facilities and those of our suppliers. For instance, California, where many of our operations and manufacturing facilities are located, implemented risk-reduction orders that limited our employees’ ability to produce and move products through the supply chain. Such disruptions negatively impacted our business, financial condition, and results of operations. Similar effects may occur in the event of a resurgence of COVID-19 or the emergence of another public health crisis.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Also, any delays in elective surgeries caused by a public health crisis, outbreak of epidemic, pandemic, or contagious disease may create patient backlogs. The patients in such backlogs may or may not use our products when their surgeries are ultimately performed.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public health crises and outbreaks of epidemic, pandemic, or contagious diseases can negatively impact global economies and financial markets, leading to economic slowdowns or recessions. Such conditions may reduce hospital spending, delay product demand, and increase the risk of customer payment defaults or agreement terminations due to liquidity constraints or funding issues. These factors create material uncertainties and risks to our business, financial condition, and results of operations.</w:t>
      </w:r>
    </w:p>
    <w:p>
      <w:pPr>
        <w:pStyle w:val="TextBody"/>
        <w:bidi w:val="0"/>
        <w:spacing w:lineRule="auto" w:line="288" w:before="0" w:after="120"/>
        <w:jc w:val="both"/>
        <w:rPr/>
      </w:pPr>
      <w:r>
        <w:rPr>
          <w:rFonts w:ascii="Times New Roman;serif" w:hAnsi="Times New Roman;serif"/>
          <w:b/>
          <w:color w:val="000000"/>
          <w:sz w:val="20"/>
        </w:rPr>
        <w:t>IF WE DO NOT SUCCESSFULLY MANAGE OUR COLLABORATION, LICENSING, JOINT VENTURE, STRATEGIC ALLIANCE, OR PARTNERSHIP ARRANGEMENTS WITH THIRD PARTIES, WE MAY NOT REALIZE THE EXPECTED BENEFITS FROM SUCH ARRANGEMENTS, WHICH MAY HAVE A MATERIAL ADVERSE EFFECT ON OUR BUSINESS, FINANCIAL CONDITION, OR RESULTS OF OPERATIONS</w:t>
      </w:r>
      <w:r>
        <w:rPr>
          <w:rFonts w:ascii="Times New Roman;serif" w:hAnsi="Times New Roman;serif"/>
          <w:b w:val="false"/>
          <w:color w:val="000000"/>
          <w:sz w:val="20"/>
        </w:rPr>
        <w: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enter into collaborations, in-licensing arrangements, joint ventures, strategic alliances, or partnerships to complement or augment our research and development, product development, training, procedure development, marketing, and commercialization efforts. For example, in 2016, we entered into an agreement to form the Joint Venture. In 2019, the Joint Venture acquired certain assets related to the da Vinci distribution business of Chindex, a subsidiary of Shanghai Fosun Pharmaceutical (Group) Co. Ltd. (“Fosun Pharma”), following which the Joint Venture began direct distribution operations in China. There can also be no assurance that the Joint Venture will not require additional contributions to fund its business, that the Joint Venture will remain profitable, or that the expected benefits of the acquisition of certain assets of Chindex will be realized. Additionally, there can be no assurance that we and the Joint Venture can successfully complete any development of robotic-assisted medical devices or that we and the Joint Venture will successfully commercialize any such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Proposing, negotiating, and implementing collaborations, in-licensing agreements, joint ventures, strategic alliances, or partnerships may be a lengthy and complex process. In addition, other companies, including those with substantially greater financial, marketing, sales, technology, or other business resources, may compete with us for these opportunities or arrangements. As a result, we may not identify, secure, or complete any such arrangements in a timely manner, on a cost-effective basis, or on otherwise favorable terms, if it all. There can be no assurance that we will realize the expected benefits from these alliances. In addition, we may not be in a position to exercise sole decision-making authority regarding any collaboration or other arrangement, which could create the potential risk of creating impasses on decisions, and our alliances may have economic or business interests that are, or that may become, inconsistent with our interests. It is possible that conflicts may arise in these relationships,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These alliances can be difficult to manage, given the potentially different interests of the parties involved, and we could suffer delays in product development or other operational difficulties.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These alliances may also involve significant costs and divert the focus and attention of our management and other key personnel. Any of these relationships may require us to incur non-recurring and other charges, increase our near- and long-term expenditures, or disrupt our ordinary business activities. Such arrangements may also expose us to numerous known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unknown risks, including unique risks with respect to the economic, political, and regulatory environment of any foreign entities with whom we partner, including Fosun Pharma. Any of the foregoing may have a material adverse effect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IF WE FAIL TO SUCCESSFULLY ACQUIRE OR INTEGRATE NEW BUSINESSES, PRODUCTS, AND TECHNOLOGY, WE MAY NOT REALIZE EXPECTED BENEFITS, OR OUR BUSINESS MAY BE HARMED.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need to grow our business in response to changing technologies, customer demands, and competitive pressures. In some circumstances, we may decide to grow our business through the acquisition of complementary businesses, products, or technologies rather than through internal development.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Identifying suitable acquisition candidates can be difficult, time-consuming, and costly, and we may not be able to identify appropriate candidates or successfully complete identified acquisitions. In addition, completing an acquisition can divert our management and key personnel from our business operations, which could harm our business and affect our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Integrating an acquisition can also be expensive and time-consuming and may strain our resources. In many instances, integrating a new business will also involve implementing or improving internal controls appropriate for a public company at a business that lacks them. In addition, we may be unable to retain the employees of acquired companies or the acquired company’s customers, suppliers, distributors, or other partners for a variety of reasons, including that these entities may be our competitors or may have close relationships with our competitors. Furthermore, acquired companies may have less mature or less sophisticated information technology systems, securities practices, or training, which may result in an increased risk of security and cybersecurity incidents when such companies are integrated. Failure to successfully integrate our acquisitions may have a material adverse impact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ARE EXPOSED TO CREDIT RISK AND FLUCTUATIONS IN THE MARKET VALUE OF OUR INVESTMENTS.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investment portfolio includes both domestic and international investments. The credit ratings and pricing of our investments can be negatively affected by liquidity concerns, credit deterioration, financial results, economic risk, political risk, or other factors. As a result, the value and liquidity of our cash equivalents and marketable securities could fluctuate substantially. Our other income and expenses could also vary materially from expectations depending on gains or losses realized on the sale of investments, impairment charges resulting from revaluations of debt and equity securities and other investments, changes in interest rates, increases or decreases in cash balances, volatility in foreign exchange rates, and changes in the fair value of derivative instruments. Increased volatility in the financial markets and overall economic uncertainty could increase the risk that actual amounts realized on our investments may differ significantly from the fair values currently assigned to them.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value of our investments may also decline due to instability in the global financial markets, which may reduce the liquidity of securities included in our portfolio. For example, the closure of SVB and other institutions swept into receivership created bank-specific and broader financial institution liquidity risk and concerns. We maintain the majority of our cash and cash equivalents in accounts with major U.S. and multi-national financial institutions, and our deposits exceed insured limits. Future adverse developments with respect to these financial institutions or the broader financial services industry may impair our ability to access the capital needed to support near-term working capital needs, whether from our existing investment and deposit accounts and credit facilities or otherwise, and may lead to market-wide liquidity shortages and create additional market and economic uncertainty. Any decline in available funding or access to our cash and liquidity resources could also result in breaches of our financial and/or contractual obligations.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two Intuitive Ventures funds invest in early-stage companies, which involve substantial risks and uncertainties. These risks and uncertainties include, among other things, uncertainties inherent in research and development; uncertainties regarding the ability of Intuitive Ventures to identify investment candidates; uncertainties regarding the success of Intuitive Ventures’ investments; uncertainties and variables inherent in the operating and financial performance in investments made, including, among other things, competitive developments and general economic, political, business, industry, regulatory, and market conditions; future exchange and interest rates; and changes in tax and other laws, regulations, rates, and policies.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can be no assurance that we will realize a positive return on our strategic investments. Further, if we invest in privately held companies, valuations of such companies are inherently complex due to the lack of readily available market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If we determine that our investments in privately held companies have experienced a decline in value, we may be required to record impairments, which could be material and have an adverse effect on our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have not realized any significant losses on our cash equivalents, marketable securities, or other investments, future fluctuations in their value could have a material adverse impact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TAX LAWS OR EXPOSURE TO ADDITIONAL TAX LIABILITIES MAY ADVERSELY AFFECT OUR BUSINESS, FINANCIAL CONDITION, OR RESULTS OF OPERATIONS.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taxes in the U.S. and other jurisdictions around the world. Tax rates in these jurisdictions may be subject to significant change due to economic and/or political conditions. A number of other factors may also impact our financial results, including: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jurisdictions in which profits are determined to be earned and taxed;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resolution of issues arising from tax audits with various tax authorities;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the valuation of our deferred tax assets and liabilities;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the availability of tax credits and tax deductions;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share-based compensation or our stock price;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changes in tax laws or the interpretation of such tax laws.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unable to predict what changes to the tax laws of the U.S. and other jurisdictions may be enacted in the future or what effect such changes would have on our business, including tax law changes resulting from the base erosion and profit shifting (“BEPS”) project and the Two Pillar Solution undertaken by the Organization for Economic Co-operation and Development (“OECD”), which includes a global minimum tax rate. Many countries have adopted new tax laws to align with the global minimum tax. These changes could increase tax uncertainty and may adversely impact our provision for income taxes. Any significant increase in our future effective tax rate could have a material adverse impact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ARE SUBJECT TO RISKS ASSOCIATED WITH REAL ESTATE CONSTRUCTION AND DEVELOPMENT.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development of our facilities is subject to risks relating to our ability to complete our projects on schedule or within budget. Factors that may result in a development project being prevented or delayed from completion or exceeding budget include, but are not limited to (i) construction delays due to labor challenges, poor weather, defects, or cost overruns, which may increase project development costs; (ii) cost escalations associated with materials, including changes in availability, proximity, and cost of materials, such as steel, cement, concrete, aggregates, oil, fuel, and other construction materials, including potential risks arising from geopolitical conflicts, changes in U.S. trade policies and retaliatory responses from other countries, changes in foreign exchange rates, as well as cost escalations associated with subcontractors and labor; (iii) the discovery of hazardous or toxic substances, or other environmental, culturally-sensitive, or related issues; (iv) an inability to obtain, or a significant delay in obtaining, zoning, construction, occupancy, and other required governmental permits and authorizations; (v) difficulty in complying with local, city, county, and state rules and regulations regarding permitting, zoning, subdivision, utilities, and water quality, as well as federal rules and regulations regarding air and water quality and protection of endangered species and their habitats; (vi) insufficient infrastructure (e.g., water, sewer, and roads) capacity or availability to serve the needs of our projects; (vii) failure to achieve or sustain anticipated occupancy levels; (viii) condemnation of all or parts of development or operating properties, which could adversely affect the value or viability of such projects; and (ix) natural disasters and other extreme weather conditions, including, but not limited to, hurricanes, tornadoes, earthquakes, wildfires, or flooding.</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CLIMATE CHANGE, NATURAL DISASTERS, OR OTHER EVENTS BEYOND OUR CONTROL COULD DISRUPT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Natural disasters, terrorist activities, and other events beyond our control including, but not limited to, internet security threats and violence motivated by political or social causes, could adversely affect our business, financial condition, or results of operations. Moreover, global climate change could result in certain types of natural disasters occurring more frequently or with more intense effects. The impacts of climate change may include physical risks (such as frequency and severity of extreme weather conditions), social and human effects (such as population dislocations or harm to health and well-being), compliance costs, transition risks, shifts in market trends, and other adverse effects. Such impacts may disrupt parties in our supply chain, our customers, and our operations. For example, the March 2011 earthquake and tsunami in Japan, and their aftermath, created economic uncertainty and disrupted economic activities in Japan, including a reduction in hospital spending. More recently in September and October 2024, Hurricane Helene and Hurricane Milton caused economic uncertainty and business disruptions in the Southeast region of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Physical risks associated with climate change are subject to shifting societal, regulatory, and political focus in the U.S., the EU, and globally.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or reduced supply of raw materials and components, increased liabilities, and decreased revenues than what we have experienced in the past from such events. The geographic location of our California headquarters and many of our global manufacturing facilities, as well as the facilities of certain of our key suppliers and service providers, subject them to the risk of natural disasters. If a major earthquake, wildfire, or other natural disaster were to damage our facilities or the facilities of our suppliers and service providers, or impact the ability of our employees or the employees of our suppliers and service providers to travel to their workplace, we may experience potential impacts ranging from production and shipping delays to lost revenues and increased costs, which could harm our business. Moreover, periods with increased extreme weather, floods, or drought and associated wildfire danger may increase the probability of power outages in the communities where we work and live. For example, electric utilities in certain areas where we operate have previously used planned power outages in response to wildfire risks. If prolonged or frequent, such blackouts could impact our operations and the operations of our suppliers and service providers. We do not have multiple-site capacity for all of our operations in the event of a business disruption, and we are predominantly self-insured and may not be able to sufficiently cover losses or additional expenses that we may sustain. Furthermore, the impacts of global climate change on water resources may result in water scarcity, which could impact our ability to access sufficient quantities of water in certain locations and result in increased costs.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as ESG-related laws continue to evolve in scope and complexity, we may need to change the processes by which we currently operate our business and manage our supply chain to comply with these evolving legal and regulatory requirements, which, in turn, may have a material adverse effect on our business, financial condition, or results of operations. If such laws or regulations are more stringent than current legal or regulatory requirements, we may experience increased compliance burdens and costs to meet our regulatory obligations. For example, policymakers in various jurisdictions (including the EU and the State of California) have adopted or are considering adopting requirements for companies to make disclosures or take additional actions, including value chain diligence, related to various ESG matters. These laws are not always consistent, and, in some instances, other policymakers have taken actions to constrain companies’ consideration of such matters, which increases the complexity and cost of compliance. Advocates and opponents of various ESG matters are increasingly turning to activism, including litigation or media campaigns, to advance their positions. Our approach to such matters continues to evolve, and any failure to successfully navigate regulatory requirements or stakeholder expectations could result in a loss of market access or a decline in our success in competitive bidding or public tender processes, reputational harm, fines and other sanctions, or other adverse impacts to our business.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CONSOLIDATION IN THE HEALTHCARE INDUSTRY COULD HAVE AN ADVERSE EFFECT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healthcare industry has been consolidating, and organizations continue to consolidate purchasing decisions for many of our healthcare provider customers. Numerous initiatives and reforms by legislators, regulators, and third-party payers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USE ESTIMATES, MAKE JUDGMENTS, AND APPLY CERTAIN METHODS IN DETERMINING OUR FINANCIAL RESULTS AND IN MEASURING THE PROGRESS OF OUR BUSINESS. AS THESE ESTIMATES, JUDGMENTS, AND METHODS CHANGE, OUR RESULTS OF OPERATIONS AND OUR ASSESSMENT OF THE PROGRESS OF OUR BUSINESS COULD VARY.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methods, estimates, and judgments we use in applying our accounting policies have a significant impact on our results of operations. Such methods, estimates, and judgments are, by their nature, subject to substantial risks, uncertainties, and assumptions, and factors may arise over time that may lead us to change our methods, estimates, and judgments. Changes in any of our assumptions may adversely affect our reported financial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methods for determining surgical opportunity sizes, the number and type (cancerous or benign) of certain procedures performed, and the installed base of our systems that involve estimates and judgments, which are, by their nature, subject to substantial risks, uncertainties, and assumptions. Our estimates of surgical opportunity sizes, the number and type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procedures performed, or the installed base of our systems do not have an impact on our results of operations but are used to estimate the progress of our business. Estimates and judgments for determining surgical opportunity sizes, the number and type of procedures, and the installed base of our systems and the accuracy of these estimates may be impacted over time with changes in treatment modalities, hospital reporting behavior, system internet connectivity, distributor reporting behavior, increases in procedures per field employee, and other factors. In addition, from time to time, we may change the method for determining opportunity sizes, the number and type of procedures, and the installed base of our systems, causing variation in our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u w:val="single"/>
        </w:rPr>
      </w:pPr>
      <w:r>
        <w:rPr>
          <w:rFonts w:ascii="Times New Roman;serif" w:hAnsi="Times New Roman;serif"/>
          <w:b/>
          <w:color w:val="000000"/>
          <w:sz w:val="20"/>
          <w:u w:val="single"/>
        </w:rPr>
        <w:t>RISKS RELATING TO OUR REGULATORY ENVIRONMENT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COMPLYING WITH FDA AND FOREIGN REGULATIONS IS A COMPLEX PROCESS, AND OUR FAILURE TO FULLY COMPLY COULD SUBJECT US TO SIGNIFICANT ENFORCEMENT ACTIONS.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our products are commercially distributed, numerous quality and post-market regulatory requirements apply, including the following:</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continued compliance with the FDA’s QMSR, which requires manufacturers to follow design, testing, control, documentation, and other quality assurance procedures during the development and manufacturing process;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labeling regulations, including the FDA’s general prohibition against false or misleading statements in the labeling or promotion of products for unapproved or “off-label” uses;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stringent complaint reporting and Medical Device Reporting regulations, which require that manufacturers keep detailed records of investigations or complaints against their devices and report to the FDA if their device may have caused or contributed to a death or serious injury or malfunctioned in a way that would likely cause or contribute to a death or serious injury if it were to recur;</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adequate use of the corrective and preventive actions process to identify and correct or prevent significant, systemic failures of products or processes or in trends that suggest the same;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reporting of corrections, recalls, and removals, which requires that manufacturers report to the FDA recalls and field corrective actions taken to reduce a risk to health or to remedy a violation of the FFDCA that may pose a risk to health.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inspection and marketing surveillance by the FDA to determine our compliance with regulatory requirements. If the FDA finds that we have failed to comply, it can institute a wide variety of enforcement actions, ranging from inspectional observations (as set forth on FDA Form-483) to a public Warning Letter to more severe civil and criminal sanctions, including the seizure of our products and equipment or ban on the import or export of our products. The FDA has, in the past, issued and could, in the future, issue Warning Letters or other adverse communications to us. If we fail to satisfy or remediate the matters discussed in any such Warning Letters or communications, the FDA could take further enforcement actions, including prohibiting the sale or marketing of the affected product. Our failure to comply with applicable requirements could lead to an enforcement action that may have an adverse effect on our financial condition or results of operations. The receipt of a Warning Letter could place certain limits on the ability to obtain FDA-issued Certificates to Foreign Government (“CFGs”) used for new and re-registration of products in certain other countries.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also strictly regulates labeling, advertising, promotion, and other activities relating to the marketing of our products. Medical devices may be promoted only for their cleared or approved indications and in accordance with the provisions of the cleared or approved label. It is possible that federal or state enforcement authorities might take action if they consider our promotional or training materials to constitute promotion of an unapproved use, which could result in significant fines or penalties under a variety of statutory authorities, including under the FFDCA, as well as laws prohibiting false claims for reimbursement.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any modification or change of medical devices cleared for the market requires the manufacturer to make a determination whether the change is significant enough to require new 510(k) clearance. We have created labeling, advertising, and user training for the da Vinci surgical systems to describe specific surgical procedures that we believe are fully within the scope of our existing 510(k) indications for use stated in our 510(k) clearances. Although we have relied on expert in-house and external staff, consultants, and advisors we cannot provide assurance that the FDA would agree that all such specific procedures are within the scope of the existing general clearance. If the FDA or any comparable regulatory authority determines that our promotion of our products for any such procedures represents promotion of an off-label use, the FDA or such regulator could request that we modify our labeling or promotional materials, or otherwise subject us to regulatory or enforcement actions, including warning letters, untitled letters, injunctions, seizures, civil fines, or criminal penalties. In addition, from time to time, we modify our products, including the hardware and software in the da Vinci surgical systems, after we obtain 510(k) clearance from the FDA for the devices in ways that we do not believe require new 510(k) clearance. We cannot provide assurance that the FDA would agree in all cases with our determinations not to seek new 510(k) clearance for any of these changes. If the FDA disagrees with our assessments that a new 510(k) clearance was not required prior to commercializing the devices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these changes or modifications, then the FDA could impose enforcement sanctions, require the recall of any modified products, and/or require us to obtain 510(k) clearance or other FDA marketing authorization before permitting the commercialization of any modified products, and we may be unable to obtain any such marketing authorizations in a timely manner or at all.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 wholly owned manufacturing facility located in Mexicali, Mexico, which manufactures reusable and disposable medical device instruments. This facility is registered with the FDA as well as with Mexican authorities. The facility is operated under U.S. and international quality system regulations, including those applicable to Canada, the EU, Brazil, and Japan, among others. This facility has an FDA Establishment Registration but has not been inspected by the FDA to date. If the FDA were to identify non-conformances in our product documentation or quality system compliance, it could hold indefinitely the importation of instruments at the border, which would deprive us of the ability to sell and supply the majority of our customers until the FDA requirements have been satisfied. Similar supply disruptions could occur if key suppliers outside of the U.S. were to encounter non-conformances with their documentation or quality system compliance.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EU, subject to the transitional provisions and in order to sell our products in EU member states, our products must comply with the general safety and performance requirements of the EU MDR, which repeals and replaces the MDD. Compliance with these requirements is a prerequisite to be able to affix the CE mark to our products, without which they cannot be sold or marketed in the EU.</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medical devices placed on the market in the EU must meet the general safety and performance requirements laid down in Annex I to the EU MDR,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provided that any risks that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 conformity assessment procedure generally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once our devices are certified under the EU MDR, we must inform the notified body that carried out the conformity assessment of the medical devices that we market or sell in the EU and the EEA of any planned substantial changes to our quality system or substantial changes to our medical devices that could affect compliance with the general safety and performance requirements laid down in Annex I to the EU MDR or cause a substantial change to the intended use for which the device has been CE marked. The notified body will then assess the planned changes and verify whether they affect the products’ ongoing conformity with the EU MDR. If the assessment is favorable, the notified body will issue a new certificate of conformity or an addendum to the existing certificate attesting compliance with the general safety and performance requirements and quality system requirements laid down in the Annexes to the EU MDR. The notified body may disagree with our proposed changes and product introductions or modifications could be delayed or canceled, which could adversely affect our ability to grow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fail to comply with applicable laws and regulations, we would be unable to affix the CE mark to our products, which would prevent us from selling them within the EU. The aforementioned EU rules are generally applicable in the EEA. Non-compliance with the above requirements would also prevent us from selling our products in these three countries.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PRODUCTS ARE SUBJECT TO A LENGTHY AND UNCERTAIN DOMESTIC REGULATORY REVIEW PROCESS. IF WE DO NOT OBTAIN AND MAINTAIN THE NECESSARY DOMESTIC REGULATORY AUTHORIZATIONS, WE WILL NOT BE ABLE TO SELL OUR PRODUCTS IN THE U.S.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Our products and operations are subject to extensive regulation in the U.S. by the FDA. The FDA regulates the development and clinical testing, manufacturing, labeling, storage, record keeping, promotion, sales, distribution, and post-market support and medical device reporting in the U.S. to ensure that medical products distributed domestically are safe and effective for their intended uses. In order for us to market products for use in the U.S., we generally must first obtain clearance from the FDA pursuant to Section 510(k) of the FFDCA or approval of the product through the PMA pathway. Clearance under Section 510(k) requires demonstration that a new device is substantially equivalent to another device with 510(k) clearance or grandfathered (“pre-amendment”) status and for which a PMA is not required. If we develop products in the future that are not considered to be substantially equivalent to a device with 510(k) clearance or grandfathered status, we may be required to obtain marketing authorization through the more burdensome PMA process or alternatively through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process, which is a path to market for novel devices that are low to moderate risk and for which a predicate device is not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Although our current products have generally been cleared through the 510(k) clearance process, we may decide to seek approval for future products through a PMA submission or through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classification process. A PMA is typically a much more complex, lengthy, and burdensome application than a 510(k) and generally takes from one to three years, or even longer, from the time the application is submitted to the FDA. In the PMA process, the FDA must determine that a proposed device is safe and effective for its intended use based, in part, on extensive data, including, but not limited to, technical, preclinical, clinical study, manufacturing, and labeling data. The PMA process is typically required for devices that are deemed to pose the greatest risk, such as life-sustaining, life-supporting, or implantable devices. In the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process, a manufacturer whose novel device under the FFDCA would otherwise be automatically classified as Class III and require the submission and approval of a PMA prior to marketing is able to request down-classification of the device to Class I or Class II on the basis that the device presents a low or moderate risk.</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Similarly, although the FDA has a statutory deadline of 120 days to review a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 xml:space="preserve">submission, in practice, the review may take much longer. In addition, a PMA application or </w:t>
      </w:r>
      <w:r>
        <w:rPr>
          <w:rFonts w:ascii="Times New Roman;serif" w:hAnsi="Times New Roman;serif"/>
          <w:b w:val="false"/>
          <w:i/>
          <w:color w:val="000000"/>
          <w:sz w:val="20"/>
        </w:rPr>
        <w:t>de novo</w:t>
      </w:r>
      <w:r>
        <w:rPr>
          <w:color w:val="000000"/>
        </w:rPr>
        <w:t xml:space="preserve"> </w:t>
      </w:r>
      <w:r>
        <w:rPr>
          <w:rFonts w:ascii="Times New Roman;serif" w:hAnsi="Times New Roman;serif"/>
          <w:b w:val="false"/>
          <w:color w:val="000000"/>
          <w:sz w:val="20"/>
        </w:rPr>
        <w:t>classification requests generally require the performance of one or more clinical studies. In some cases, such studies may also be required to support a 510(k) application, and any requirements to conduct clinical studies beyond those we anticipate for our current or future products could add significantly to our costs and have a material adverse effect on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may not act favorably or quickly in its review of any marketing application submissions, or we may encounter significant difficulties and costs in our efforts to obtain marketing authorization from the FDA, either of which could delay or preclude the sale of new products in the U.S. In addition, the FDA may place significant limitations upon the intended use of our products as a condition of granting marketing authorization. Product applications can also be denied or withdrawn due to failure to comply with regulatory requirements or the occurrence of unforeseen problems following marketing authorization. Any delays or failure to obtain FDA marketing authorization for new or modified products that we develop, any limitations imposed by the FDA on new product use, or the costs of obtaining FDA clearance or approvals could have a material adverse effect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FDA or other regulatory agencies may change their policies, adopt additional regulations, revise existing regulations, or take other actions that may prevent or delay approval or clearance of our products under development or impact our ability to modify our currently approved or cleared products on a timely basis. We may be found non-compliant as a result of future changes in, or interpretations of, regulations by the FDA or other regulatory agencies. For example, on February 2, 2026, the FDA’s final rule implementing the QMSR became effective. The QMSR, which replaces the FDA’s former Quality System Regulation sets forth the FDA’s current good manufacturing practice requirements for medical devices, and among other things, incorporates by reference the quality management system requirements of ISO 13485:2016. Although the FDA has stated that the standards contained in ISO 13485:2016 are substantially similar to those set forth in the QSR, and although we have obtained ISO 13485:2016 certification for our quality management system, the FDA has indicated that ISO:13485 certification alone will not ensure compliance under the QMSR, nor will ISO certification exempt manufacturers from FDA inspection. The QMSR also includes certain compliance obligations, such as those relating to unique device identification, product traceability, and maintenance of complaint and service records, that align more closely with FDA’s existing medical device requirements than with ISO standards. Accordingly, it remains unclear the extent to which the QMSR may impose additional or different regulatory requirements on us that could increase the costs of compliance or otherwise negatively affect our business. If we are unable to comply with the QMSR, or with any other changes in the laws or regulations enforced by FDA or comparable regulatory authorities, we may be subject to enforcement action, which could have an adverse effect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in September 2019, the FDA issued revised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conduct a clinical investigation involving human subjects for the purpose of demonstrating the safety and effectiveness of a medical device, a company must, among other things, apply for and obtain IRB approval of the proposed investigation. In addition, if the clinical study involves a “significant risk” (as defined by the FDA) to human health, the sponsor of the investigation must also submit and obtain FDA approval of an IDE application. Many of our products to date have been or would be considered significant risk devices requiring IDE approval prior to investigational use. We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able to obtain FDA and/or IRB approval to undertake clinical trials in the U.S. for any new devices that we intend to market in the U.S. in the future.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 if we obtain such approvals, we may not be able to conduct studies that comply with the IDE and other regulations governing clinical investigations or the data from any such trials may not support clearance or approval of the investigational device. Clinical testing is difficult to design and implement, can take many years, can be expensive, and carries uncertain outcomes and, if we fail to complete our planned or ongoing clinical trials or if such clinical trials produce negative or inconclusive results, we may be delayed or prevented from obtaining regulatory clearances or approvals to commercialize our products for new or expanded indications. Additionally, we may experience delays in our ongoing clinical trials for any number of reasons, which could adversely affect the costs, timing, or successful completion of our clinical trials. If we fail to complete our planned and ongoing clinical trials or if such clinical trials produce negative or inconclusive results, we may be delayed or prevented from obtaining regulatory clearances or approvals to commercialize our products for new or expanded indications, which may limit demand for our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Certainty that clinical trials will meet desired endpoints, produce meaningful or useful data, and be free of unexpected adverse effects or that the FDA will accept the validity of foreign clinical study data cannot be assured, and such uncertainty could preclude or delay market clearance or authorizations resulting in significant financial costs and reduced revenue. Failure to obtain such approvals or to comply with such regulations could have a material adverse effect on our business, financial condition, or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PRODUCTS MAY CAUSE OR CONTRIBUTE TO ADVERSE MEDICAL EVENTS OR BE SUBJECT TO FAILURES OR MALFUNCTIONS THAT WE ARE REQUIRED TO REPORT TO THE FDA AND FOREIGN REGULATORY AUTHORITIES AND, IF WE FAIL TO DO SO, WE WOULD BE SUBJECT TO SANCTIONS THAT COULD HARM OUR REPUTATION,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the FDA’s medical device reporting regulations and similar foreign regulations, which require us to report to the FDA and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 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foreign regulatory authorities could take action, including warning letters, untitled letters, administrative actions, criminal prosecution, imposition of civil monetary penalties, revocation of our device clearance, approval, or certification, seizure of our products or delay in clearance, approval, or certification of future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FDA and foreign regulatory bodies have the authority to require the recall of commercialized products in the event of material deficiencies or defects in the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w:t>
        <w:noBreakHyphen/>
        <w: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Depending on the corrective action we take to redress a product’s deficiencies or defects, the FDA or foreign regulatory authorities may require, or we may decide, that we will need to obtain new clearances, approvals, or certifications for the device before we may market or distribute the corrected device. Seeking such clearances, approvals, or certifications may delay our ability to replace the recalled devices in a timely manner. Moreover, if we do not adequately address problems associated with our devices, we may face additional regulatory enforcement actions, including FDA or foreign regulatory authorities warning letters, product seizure, injunctions, administrative penalties, or civil or criminal fines.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Companies are required to maintain certain records of recalls and corrections, even if they are not reportable to the FDA or foreign regulatory authorities. We may initiate voluntary withdrawals or corrections for our products in the future that we determine do not require notification of the FDA or foreign regulatory authorities. If the FDA or foreign regulatory authorities disagree with our determinations, it could require us to report those actions as recalls, and we may be subject to enforcement actions. A future recall announcement could harm our reputation with customers, potentially lead to product liability claims against us, and negatively affect our sales. Any corrective action, whether voluntary or involuntary, as well as defending ourselves in a lawsuit, would require the dedication of our time and capital, distract management from operating our business, and may harm our reputation,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IF OUR MANUFACTURING FACILITIES DO NOT CONTINUE TO MEET FEDERAL, STATE, OR OTHER MANUFACTURING REGULATIONS AND STANDARDS, WE MAY BE REQUIRED TO TEMPORARILY CEASE ALL OR PART OF OUR MANUFACTURING OPERATIONS, IMPORT/EXPORT OF OUR PRODUCTS, AND/OR RECALL SOME PRODUCTS, WHICH COULD RESULT IN SIGNIFICANT PRODUCT DELIVERY DELAYS AND LOST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manufacturing facilities are subject to periodic inspection by regulatory authorities and audit by notified bodies, and our operations will continue to be regulated and inspected by the FDA and other regulatory agencies and notified bodies for compliance with Good Manufacturing Practice requirements contained in the QMSR and other regulatory requirements. We are similarly required to comply with ISO quality system standards as well as EU legislation and norms in order to produce products for sale in the EU. In addition, many countries, such as Canada and Japan, have very specific additional regulatory requirements for quality assurance and manufacturing. If we fail to continue to comply with Good Manufacturing Practice requirements, as well as ISO or other regulatory standards, we may be required to cease all or part of our operations until we comply with these regulations.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be subject to FDA and certain other inspections by other regulatory authorities and notified bodies at any time. Maintaining such compliance is difficult and costly. We cannot be certain that our facilities will be found to comply with Good Manufacturing Practice requirements or ISO standards and other regulatory requirements in future inspections and audits by regulatory authorities and notified bodies.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currently participating in the Medical Device Single Audit Program (“MDSAP”), which allows an MDSAP-recognized auditing organization to conduct a single regulatory audit of a medical device manufacturer that evaluates our quality system to assess compliance with the requirements of multiple regulatory jurisdictions, including the U.S., Japan, Brazil, Australia, and Canada. The information collected in an MDSAP audit is shared and reviewed amongst all the regulatory authorities participating in the MDSAP, who may or may not determine that additional information or auditing is required.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Sunnyvale, California facility is licensed by the State of California to manufacture medical devices. We have been subject to periodic inspections by the California Department of Health Services Food and Drug Branch and, if we are unable to maintain this license following any future inspections, we will be unable to manufacture or ship some products, which would have a material adverse effect on our results of operations. In addition, all of our facilities are subject to periodic inspections by other regulatory bodies, including third-party auditors on behalf of national regulatory authorities. Compliance with multiple regulatory standards is complex, difficult, and costly to maintain, and material deficiencies could result in significant limitations on our ability to manufacture, transport, and sell our products in one or more countries.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PRODUCTS ARE SUBJECT TO INTERNATIONAL REGULATORY PROCESSES AND APPROVAL OR CERTIFICATION REQUIREMENTS. IF WE DO NOT OBTAIN AND MAINTAIN THE NECESSARY REGULATORY REQUIREMENTS, WE WILL NOT BE ABLE TO SELL OUR PRODUCTS IN OTHER COUNTRIES.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be able to sell our products in other countries, we must obtain regulatory approvals or certifications and comply with the regulations of those countries, which may differ substantially from those of the U.S. These regulations, including the requirements for approvals or certifications and the time required for regulatory review, vary from country to country. Obtaining and maintaining foreign regulatory approvals or certifications is complex, and the time to obtain clearances or certifications in other countries varies; therefore, we cannot be certain that we will receive regulatory approvals or certifications in any other country in which we plan to market our products or obtain such approvals or certifications on a favorable schedule. If we fail to obtain or maintain regulatory approval or certification in any other country in which we plan to market our products, our ability to generate revenue will be harmed. In particular, if the FDA refuses to provide CFGs, our ability to register products or renew such registrations may be delayed or denied.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EU, the EU MDR, which repealed and replaced the MDD, became applicable on May 26, 2021. In accordance with transitional provisions, both (i) devices lawfully placed on the market pursuant to the EU MDD prior to May 26, 2021, and (ii) legacy devices lawfully placed on the EU market from May 26, 2021, in accordance with the EU MDR transitional provisions may generally continue to be made available on the market or put into service until December 31, 2028 (at the very latest and depending on the product risk classification) per the EU MDR extended transitional provisions, provided that the requirements of the transitional provisions are fulfilled. However, since May 26, 2021, manufacturers must already comply with a number of new, or reinforced, requirements set forth in the EU MDR, including registration of economic operators and of devices control plan, Periodic Safety Update Report (“PSUR”), notify body periodic vigilance report, post-market surveillance, clinical periodic review report, and vigilance requirements, such as the Post Market Clinical Follow-Up (“PMCF”) or Clinical Evaluation Plan (“CEP”). These requirements are in active implementation and may change as the European Commission adopts additional implementing acts and considers targeted revisions to related medical device rules.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Subject to the transitional provisions, in order to sell our products in EU member states, our products must comply with the general safety and performance requirements of the EU MDR. Compliance with these requirements is a prerequisite to be 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affix the CE mark to our products, without which they cannot be sold or marketed in the EU. All medical devices placed on the market in the EU must meet the general safety and performance requirements laid down in Annex I to the EU MDR, including the requirement that a medical device must be designed and manufactured in such a way that, during normal conditions of use, it is suitable for its intended purpose. It is the responsibility of the (manufacturer) Person Responsible for Regulatory Compliance (“PRRC”) to ensure such requirements are fulfilled and in place in the company. Medical devices must be safe and effective and must not compromise the clinical condition or safety of patients or the safety and health of users and, where applicable, other persons, provided that any risks that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and may include a technical documentation assessment and an onsite audit. Except for low-risk medical devices (Class I), where the manufacturer can self-assess the conformity of its products with the general safety and performance requirements (except for any parts that relate to sterility, metrology, or reuse aspects), a conformity assessment procedure requires the intervention of a notified body. The notified body would typically audit and examine the technical file and the quality system for the manufacture, design, and final inspection of our devices. If satisfied that the relevant product conforms to the relevant general safety and performance requirements and we have the organizational structure to support it (i.e., PRRC), the notified body issues a certificate of conformity, which the manufacturer uses as a basis for its own declaration of conformity. The manufacturer may then apply the CE mark to the device, which allows the device to be placed on the market throughout the EU. If we fail to comply with applicable laws and regulations, we would be unable to affix the CE mark to our products, which would prevent us from selling them within the EU or any countries recognizing the CE mark. The aforementioned EU rules are generally applicable in the EEA.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gained certification under the EU MDR and, where appropriate, maintained our certificates granted under the former EU MDD for all medical devices that we intend to continue to market in the EU and EEA.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Switzerland, which is the country from which we import our products into the EU and where our EU regulatory team is based, has not yet entered into a Mutual Recognition Agreement with the EU that covers the EU MDR and allows medical devices to move freely between Switzerland and the EU. Therefore, for future needs, we will adjust the manner in which we bring our products into the EU market. Any such adjustments could cause temporary disruptions in and have adverse financial implications to our business in Europe.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EU regulatory landscape concerning medical devices recently evolved and continues to undergo legislative changes. On May 26, 2021, the EU MDR became applicable and repealed and replaced the EU MDD and the Active Implantable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EU MDR, among other things, is intended to establish a uniform, transparent, predictable, and sustainable regulatory framework across the EU for medical devices and ensure a high level of safety and health while supporting innovation. These requirements are in active implementation and may change as the European Commission adopts additional implementing acts and considers targeted revisions to related medical device rules. In addition, on December 16, 2025, the European Commission published a targeted revision proposal of the EU MDR to address structural issues, certification delays, and burdens on small and medium-sized enterprises (SMEs). The proposal will enter the ordinary legislative procedure and is not expected to be adopted before 2027.</w:t>
      </w:r>
    </w:p>
    <w:p>
      <w:pPr>
        <w:pStyle w:val="TextBody"/>
        <w:bidi w:val="0"/>
        <w:spacing w:lineRule="auto" w:line="288" w:before="0" w:after="120"/>
        <w:ind w:left="0" w:right="0" w:firstLine="360"/>
        <w:jc w:val="both"/>
        <w:rPr/>
      </w:pPr>
      <w:r>
        <w:rPr>
          <w:rFonts w:ascii="Times New Roman;serif" w:hAnsi="Times New Roman;serif"/>
          <w:b w:val="false"/>
          <w:color w:val="000000"/>
          <w:sz w:val="20"/>
        </w:rPr>
        <w:t>In Japan, to date, we received approvals from the Japanese Ministry of Health, Labor and Welfare for our da Vinci</w:t>
      </w:r>
      <w:r>
        <w:rPr>
          <w:color w:val="000000"/>
        </w:rPr>
        <w:t xml:space="preserve"> </w:t>
      </w:r>
      <w:r>
        <w:rPr>
          <w:rFonts w:ascii="Times New Roman;serif" w:hAnsi="Times New Roman;serif"/>
          <w:b w:val="false"/>
          <w:color w:val="000000"/>
          <w:sz w:val="20"/>
        </w:rPr>
        <w:t>Si, Xi, X, 5, and SP surgical systems and various associated instruments and accessories for use in certain da Vinci procedures. We may seek additional approvals for other products and/or indications; however, there can be no assurance that such approvals will be granted. In addition, because not all of our instruments have received product approvals and reimbursement is an additional process to generate commercial acceptance, it is possible that procedures will be adopted slowly or not at all. Sales of our products depend, in part, on the extent to which the costs of our products are reimbursed by governmental health administration authorities. There are multiple pathways to obtain reimbursement for procedures including those that require in-country clinical data and which are considered for reimbursed status in April of even-numbered years. If we are not successful in obtaining the necessary reimbursement approvals or obtaining approvals for future products and procedures, then the demand for our products could be limited. These limitations could eliminate a significant opportunity for our products in Japan.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China, our capital sales are subject to importation authorizations and purchasing tender processes. In June 2023, the China National Health Commission published the 2023 Quota. Under the original 2023 Quota, the government will allow for the sale of 559 new surgical robots into China, which could include da Vinci surgical systems as well as surgical systems introduced by others. As of December 31, 2025, including systems that were sold in prior quarters, we have placed 162 da Vinci surgical systems under the original 2023 Quota and 5 da Vinci surgical systems under special approvals. Our ability to track the number of systems that could be sold under these quotas in the future is limited by provincial and national agencies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making such information publicly available. Future system sales and our ability to grow future procedure volumes are dependent on the completion of these purchasing tender authorizations. The timing and magnitude of these future authorizations, which may determine our system placements in future years, is not certain, and we expect to continue to experience variability in the timing of capital sales in China.</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HEALTHCARE LEGISLATION AND POLICY MAY HAVE AN ADVERSE EFFECT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U.S., there have been, and continue to be, a number of legislative initiatives to contain healthcare costs. In March 2010, the ACA was enacted, which made changes that have impacted and are expected to significantly impact the pharmaceutical and medical device industries.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ACA contained a number of provisions designed to generate the revenues necessary to fund health insurance coverage expansions among other things. This included a number of Medicare payment system reforms, including a national pilot program on payment bundling to encourage hospitals, physicians, and other providers to improve the coordination, quality, and efficiency of certain healthcare services through bundled payment models and appropriated funding for comparative effectiveness research.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its enactment, there have been judicial, executive branch,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other legislative changes have been proposed and adopted since the ACA became law. These changes included an aggregate reduction in Medicare payments, which went into effect on April 1, 2013, and will remain in effect through 2032, unless additional Congressional action is taken. Individual states in the U.S. have also become increasingly active in passing legislation and implementing regulations designed to control product pricing, including price or patient reimbursement constraints and discounts, and require marketing cost disclosure and transparency measures.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implementation of OBBBA may reduce the number of individuals enrolled in state Medicaid programs and ACA marketplace plans, which may result in changes in healthcare utilization that may adversely affect demand for our products and services and could have an adverse impact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additional state and federal healthcare reform measures to be adopted in the future that could have a material adverse effect on our industry generally and on our customers. Any changes to, or uncertainty with respect to, future reimbursement rates or changes in hospital admission rates could impact our customers’ demand for our products and services, which, in turn, could have a material adverse effect on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the federal, state, and local governments, Medicare, Medicaid, managed-care organizations, and foreign governments have, in the past, considered, are currently considering, and may, in the future, consider healthcare policies and proposals intended to curb rising healthcare costs, including those that could significantly affect both private and public reimbursement for healthcare services. Future significant changes in the healthcare systems in the U.S. or other countries, including retroactive and prospective rate and coverage criteria changes, competitive bidding or tender processes for certain products and services, and other changes intended to reduce expenditures along with uncertainty about whether and how changes may be implemented, could have a negative impact on the demand for our products. We are unable to predict whether other healthcare policies, including policies stemming from legislation or regulations affecting our business may be proposed or enacted in the future, what effect such policies would have on our business, or what effect ongoing uncertainty about these matters will have on the purchasing decisions of our customers.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instance, in December 2021, the EU Regulation No. 2021/2282 on Health Technology Assessment (“HTA”), amending Directive 2011/24/EU, was adopted. The Regulation entered into force in January 2022 and has been applicable since January 2025, with phased implementation based on the type of product, e.g., certain high-risk medical devices as of 2026. This Regulation intends to boost cooperation among EU member states in assessing health technologies, including certain high-risk medical devices,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etc.) aspects of health technology and making decisions on pricing and reimbursement.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Dodd-Frank Wall Street Reform and Consumer Protection Act requires us to track and disclose the source of any tantalum, tin, gold, and tungsten used in manufacturing that may originate in the Democratic Republic of the Congo or adjoining regions (so called “conflict minerals”). These metals are central to the technology industry and are present in some of our products as component parts. In most cases, no acceptable alternative material exists that has the necessary properties that our products require. Because it is not possible to determine the source of the metals by analysis, we must obtain a good faith description of the source of the intermediate components and raw materials from parties in our supply chain. The components that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Accordingly, components and assemblies we buy may have a mix of sources as their origin. We are required to carry out a diligent effort to determine and disclose the source of these materials. There can be no assurance that we can obtain this information accurately or reliably, or at all, from intermediate producers who may be unwilling or unable to provide this information or further identify their sources of supply or to notify us if these sources change. In addition, these metals are subject to price fluctuations and shortages that can affect our ability to obtain the manufactured materials that we rely on at favorable terms or from consistent sources. These changes could have an adverse impact on our ability to manufacture and market our devices and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healthcare regulation and enforcement by the federal government and the states and foreign governments where we conduct our business. The healthcare laws and regulations that may affect our ability to operate include the federal Anti-Kickback Statute, which prohibits the payment of remuneration to induce or reward hospitals, physicians, or other healthcare professionals either to refer patients or to purchase, lease, order, or arrange for or recommend the purchase, lease, or order of healthcare products or services for which payment may be made under the federal healthcare programs, such as Medicare, Medicaid, and other third-party payor programs. Further, a person or entity does not need to have actual knowledge of this statute or specific intent to violate it in order to have committed a violation. Similar laws must be complied with at the state level and in foreign jurisdictions.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must comply with the federal civil and criminal false claims laws, including the federal False Claims Act, and civil monetary penalties laws, which prohibit, among other things, individuals or entities from knowingly presenting, or causing to be presented, claims for payment from Medicare, Medicaid, or other federal healthcare programs that are false or fraudulent. Although we do not submit claims directly to government payors, manufacturers can be held liable under the federal False Claims Act if they are deemed to “cause” the submission of false or fraudulent claims by, for example, providing inaccurate billing or coding information to customers or promoting a product off-label. In addition, the government may assert that a claim including items or services resulting from a violation of the federal Anti-Kickback Statute constitutes a false or fraudulent claim for purposes of the False Claims Act.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Health Insurance Portability and Accountability Act of 1996, which created additional federal criminal statutes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laws may affect our sales, marketing, and other promotional activities by limiting the kinds of financial arrangements that we may have with hospitals, physicians, or other potential purchasers of our products. They particularly impact how we structure our sales offerings, including discount practices, customer support, speaker, education, and training programs, physician consulting, and other service arrangements. These laws are broadly written, and it is often difficult to determine precisely how these laws will be applied to specific circumstances. Violating anti-kickback laws and false claims laws can result in civil and criminal fines and penalties, which can be substantial and include monetary damages and penalties, imprisonment, and exclusion from government healthcare programs. Even an unsuccessful challenge or investigation into our practices could cause adverse publicity and be costly to defend and, thus, could harm our business, financial condition, or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Physicians Payments Sunshine Act imposes reporting and disclosure requirements on certain device manufacturers for any “transfer of value” made or distributed to physicians (including family members), as defined by statute, certain non-physician practitioners, including physician assistants and nurse practitioners, and teaching hospitals. Such information must be made publicly available in a searchable format. In addition, device manufacturers are required to report and disclose any ownership or investment interests held by physicians and their immediate family members, as well as any transfers of value made to such physician owners and investors, during the preceding calendar year. Similar requirements apply in foreign jurisdictions. Failure to submit required information at the designated times may result in civil monetary penalties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pPr>
      <w:r>
        <w:rPr>
          <w:rFonts w:ascii="Times New Roman;serif" w:hAnsi="Times New Roman;serif"/>
          <w:b w:val="false"/>
          <w:color w:val="000000"/>
          <w:sz w:val="20"/>
        </w:rPr>
        <w:t>all payments, transfers of value, or ownership or investment interests not reported in an annual submission. Device manufacturers are required to submit reports to CMS by the 90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each calendar year.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states have similar laws and regulations, such as anti-kickback and false claims laws, which may be broader in scope and may apply regardless of payor, in addition to items and services reimbursed under Medicaid and other state programs. Certain states mandate implementation of commercial compliance programs to ensure compliance with these laws, impose restrictions on device manufacturer marketing practices, and/or require the tracking and reporting of gifts, compensation, and other remuneration to physicians or marketing expenditures and pricing information. The shifting commercial compliance environment and the need to build and maintain robust and expandable systems to comply with multiple jurisdictions with different compliance and/or reporting requirements increases the possibility that a healthcare company may be found out of compliance with one or more of the requirements, subjecting us to significant civil monetary penalties.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to the extent that our product is sold in a foreign country, we may be subject to similar foreign laws.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Compliance with complex foreign and U.S. laws and regulations that apply to our OUS operations increases our cost of doing business in foreign jurisdictions and could expose us or our employees to fines and penalties in the U.S. and/or abroad. These numerous, and sometimes conflicting, laws and regulations include U.S. laws, such as the FCPA, and similar laws in other countries, such as the UK Bribery Act.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distributors, or other agents will not violate our policies.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certain antitrust and competition laws in the jurisdictions in which we conduct our business, in particular the U.S. and the EU. These laws prohibit, among other things, anticompetitive agreements and practices. If any of our commercial agreements or practices are found to violate or infringe such laws, we may be subject to civil and other penalties. We may also be subject to third-party claims for damages. Further, agreements that infringe upon these antitrust and competition laws may be void and unenforceable, in whole or in part, or require modification in order to be lawful and enforceable. If we are unable to enforce our commercial agreements, whether at all or in material part, our business, financial condition, or results of operations could be adversely affected.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claims, lawsuits, and government investigations involving labor and employment. Such claims, lawsuits, and government investigations are inherently uncertain. Regardless of the outcome, any of these types of legal proceedings can have an adverse impact on us because of legal costs, diversion of management resources, and other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exposed to the risk that our employees, independent contractors, consultants, manufacturers, suppliers, and any other third parties that we may engage in connection with the development and commercialization of our products may engage in fraudulent or illegal activity. Misconduct by these parties could include intentional, reckless, and/or negligent conduct or disclosure of unauthorized activities to us that violates: (i) the laws of the FDA and other similar regulatory authorities, including those laws requiring the reporting of true, complete, and accurate information to such authorities; (ii) manufacturing standards; (iii) data privacy, security, fraud, and abuse laws and regulations; or (iv) laws that require the true, complete, and accurate reporting of financial information or data. Activities subject to these laws could also involve the improper use or misrepresentation of information obtained in the course of clinical trials or the creation of fraudulent data in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or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IF HOSPITALS AND OTHER SURGICAL FACILITIES DO NOT CONTINUE TO MEET FEDERAL, STATE, OR OTHER REGULATORY STANDARDS, THEY MAY BE REQUIRED TO TEMPORARILY CEASE ALL OR PART OF THEIR SYSTEM UTILIZATION.</w:t>
      </w:r>
    </w:p>
    <w:p>
      <w:pPr>
        <w:pStyle w:val="TextBody"/>
        <w:bidi w:val="0"/>
        <w:spacing w:lineRule="auto" w:line="288" w:before="0" w:after="120"/>
        <w:ind w:left="0" w:right="0" w:firstLine="360"/>
        <w:jc w:val="both"/>
        <w:rPr/>
      </w:pPr>
      <w:r>
        <w:rPr>
          <w:rFonts w:ascii="Times New Roman;serif" w:hAnsi="Times New Roman;serif"/>
          <w:b w:val="false"/>
          <w:color w:val="000000"/>
          <w:sz w:val="20"/>
        </w:rPr>
        <w:t>Our global customers are subject to periodic inspection by regulatory authorities. Our customers are required to comply with applicable regulations, including with respect to the reprocessing of our</w:t>
      </w:r>
      <w:r>
        <w:rPr>
          <w:color w:val="000000"/>
        </w:rPr>
        <w:t xml:space="preserve"> </w:t>
      </w:r>
      <w:r>
        <w:rPr>
          <w:rFonts w:ascii="Times New Roman;serif" w:hAnsi="Times New Roman;serif"/>
          <w:b w:val="false"/>
          <w:color w:val="000000"/>
          <w:sz w:val="20"/>
        </w:rPr>
        <w:t xml:space="preserve">instruments and accessories. Hospitals may not follow cleaning and sterilization instructions properly, or equipment used for cleaning and sterilization may malfunction or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used improperly. If our customers deviate from cleaning and sterilization instructions, regulatory authorities may require them to suspend the use of our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u w:val="single"/>
        </w:rPr>
      </w:pPr>
      <w:r>
        <w:rPr>
          <w:rFonts w:ascii="Times New Roman;serif" w:hAnsi="Times New Roman;serif"/>
          <w:b/>
          <w:color w:val="000000"/>
          <w:sz w:val="20"/>
          <w:u w:val="single"/>
        </w:rPr>
        <w:t>RISKS RELATING TO OUR INTELLECTUAL PROPERTY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IF WE ARE UNABLE TO FULLY PROTECT AND SUCCESSFULLY DEFEND OUR INTELLECTUAL PROPERTY FROM USE BY THIRD PARTIES, OUR ABILITY TO COMPETE MAY BE HARMED.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obtaining patent protection for the proprietary technologies contained in our products and on successfully defending our patents against infringing products and/or services in litigation or administrative proceedings, including patent oppositions, reviews, or reexaminations. We incur substantial costs in obtaining patents and, if necessary, defending our patent rights. We do not know whether we will be successful in obtaining the desired patent protection for our new proprietary technologies or that the protection we do obtain will be found valid and enforceable when challenged. The success of defending our proprietary rights can be highly uncertain, because it involves complex and often evolving legal issues and procedures that are dependent on the particular facts of each case.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patents, we also rely on other intellectual property rights, such as trade secret, copyright, and trademark laws to protect proprietary technologies. We further utilize nondisclosure agreements and other contractual provisions as well as technical measures to protect our proprietary technologies. Nevertheless, these measures may be inadequate in protecting our technologies. If these measures prove to be inadequate in protecting our technologies, our competitive advantages may be reduced. Moreover, we may not have adequate remedies for potential breaches by employees, consultants, and others who participate in developing our proprietary technologies against their agreements with us regarding intellectual property. As a result, our trade secrets may be lost.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foreign markets become more significant in revenue for us, our foreign operations and strategic alliances with foreign entities will likely increase. Our exposure to risks associated with these operations requires us to increase our reliance on protecting our intellectual property against infringing products and/or services in markets outside of the U.S. The laws and judicial systems in these countries may introduce yet another level of uncertainty in our effort to obtain the desired protection as well as defending our rights.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OTHERS MAY BE SUCCESSFUL IN ASSERTING THAT OUR PRODUCTS INFRINGE THEIR INTELLECTUAL PROPERTY RIGHTS, WHICH MAY CAUSE US TO PAY SUBSTANTIAL DAMAGES AND/OR ENJOIN US FROM COMMERCIALIZING OUR PRODUCTS.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continue to introduce and commercialize new products and technologies, there may be U.S. and foreign patents issued to third parties that relate to our products. Some of these patents may be broad enough to cover one or more aspects of our products. We cannot be certain that patents issued from our own patent applications covering our products will have a priority date over any patents issued from applications filed by a third party. From time to time, we receive, and likely will continue to receive, letters from third parties accusing us of infringing and/or inviting us to license their patents. We may be sued by, or become involved in an administrative proceeding with, one or more of these third parties.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medical device industry has experienced extensive intellectual property litigation and administrative proceedings. If third parties assert infringement claims or institute administrative proceedings against us, our technical and management personnel will need to spend significant time and effort, and we will incur large expenses in defending against these attacks. We cannot be certain that we will prevail in defending against infringement, validity, or enforceability claims against us. If plaintiffs in patent administrative proceedings are successful, our patent portfolio may be adversely affected. If plaintiffs in any patent action are successful, we may be enjoined from selling or importing our products, we may have to pay substantial damages, including treble damages, or we may be required to obtain a license that requires us to pay substantial royalties or relocate our manufacturing facilities. In addition, any public announcements related to litigation or administrative proceedings initiated or threatened against us could cause our stock price to decline.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PRODUCTS MAY RELY ON LICENSES FROM THIRD PARTIES, WHICH MAY NOT BE AVAILABLE TO US ON COMMERCIALLY REASONABLE TERMS OR AT ALL. IF WE LOSE ACCESS TO THESE TECHNOLOGIES, OUR REVENUES COULD DECLINE.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may rely on technology that we license from others, including technology that is integral to our products. There is no assurance that we can obtain or retain licenses on acceptable terms or at all. The license agreements we have entered into with several industry partners may be terminated for breach. If any of these agreements are terminated, we may be unable to reacquire the necessary license on satisfactory terms or at all. The failure to obtain, retain, or maintain licenses could prevent or delay further development or commercialization of our products, which may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120"/>
        <w:jc w:val="both"/>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FUTURE OPERATING RESULTS MAY BE BELOW EXPECTATIONS, WHICH COULD CAUSE OUR STOCK PRICE TO DECLINE.</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Due to the dynamic nature of our industry, we have limited insight into trends that may emerge and affect our business. The revenue and income potential of our opportunities are unproven, and we may be unable to maintain or grow our revenue or income. Our products typically have lengthy sales cycles. In addition, our costs may be higher than we anticipated. If we fail to generate sufficient revenues or our costs are higher than we expect, our results of operations may be materially adversely affected. Further, future revenue from sales of our products is difficult to forecast, because new surgical technologies are still evolving. Our results of operations could be impacted by numerous factors,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extent to which our products achieve and maintain acceptance;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actions relating to regulatory matters;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product quality and supply problems;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inflationary pressures on the cost of producing and distributing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timing and ability to develop our manufacturing and sales and marketing capabilities;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demand for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utilization of our systems placed under usage-based operating lease arrangements;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size and timing of particular sales and any collection delays related to those sales;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progress of surgical training in the use of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develop, introduce, and market new or enhanced versions of our products on a timely basis;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third-party payor reimbursement policies;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protect our proprietary rights and defend against third-party challenges;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license additional intellectual property rights;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progress and results of any clinical trials.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results in any particular period may not be a reliable indication of our future performance. It is possible that, in future periods, our operating results could be below the expectations of securities analysts or investors. If this occurs, the price of our common stock and the value of your investment will likely decline.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OUR STOCK PRICE HAS BEEN, AND WILL LIKELY CONTINUE TO BE, VOLATILE.</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experienced fluctuations and may fluctuate significantly in the future. For example, during 2025, the adjusted closing price of our common stock reached a high of $610.45 and a low of $429.59. Our stock price has, in the past, and could, in the future, fluctuate for a number of reasons,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announcements about us or our competitors;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variations in our operating results and financial guidance;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introduction or abandonment of new technologies or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regulatory approvals and enforcement actions;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changes in our product pricing policies;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changes in earnings estimates;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changes in recommendations regarding our stock or more favorable relative recommendations about our competitors by industry or securities analysts;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economic changes and overall market volatility;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announcements relating to product quality and the supply chain for our products;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litigation;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media coverage, whether accurate or inaccurate, fair or misleading;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political uncertainties;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short sales on shares of our common stock or other activities by short sellers;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stock repurchase program.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stock repurchase programs will be contingent on a variety of factors, including our financial condition, results of operations, and business requirements. There can be no assurance that we will continue repurchasing our common stock in the future, consistent with historical levels or at all, or that our stock repurchase programs will have a beneficial impact on our stock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stock markets generally have experienced, and in the future may experience, significant price and volume volatility. This volatility has a substantial effect on the market prices of securities of many public companies for reasons frequently unrelated or disproportionate to the operating performance of the specific companies. Further, the securities of many medical device companies, including us, have historically been subject to extensive price and volume fluctuations that may affect the market price of their common stock. If these broad market fluctuations continue, it may have a material adverse impact on the market price of our common stock.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TO FINANCIAL ACCOUNTING STANDARDS MAY AFFECT OUR REPORTED 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change in accounting standards can have a significant effect on our reported results and may retroactively affect previously reported results. New accounting pronouncements and varying interpretations of accounting pronouncements have occurred and may occur in the future. Changes to existing standards or the reevaluation of current practices may adversely affect our reported financial results or the way we conduct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developed and implemented a cybersecurity risk management program intended to protect the confidentiality, integrity, and availability of our critical systems and information. We design and assess our program based on various cybersecurity frameworks, such as the National Institute of Standards and Technology (“NIST”) and the Center for Internet Security (“CIS”), as well as information security standards issued by the International Organization for Standardization, including ISO 27001 and ISO 27002. Our cybersecurity systems and processes are ISO 27001 certified. We use these cybersecurity frameworks and information security standards as a guide to help us identify, assess, and manage cybersecurity risks relevant to our business. We reference these recognized frameworks (e.g., NIST, CIS, ISO 27001/27002) as guides to inform our processes; however, this does not imply that we meet any particular technical standards, only that these frameworks inform, but do not by themselves define, the scope of our program.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includes: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risk assessments designed to help identify material cybersecurity risks to our critical systems, information, products, services, and our broader enterprise information technology environment;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 security team principally responsible for managing (1) our cybersecurity risk assessment processes, (2) our security controls, and (3) our response to cybersecurity incidents;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use of external service providers, where appropriate, to assess, test, or otherwise assist with aspects of our security controls;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cybersecurity awareness training for our employees, incident response personnel, and senior management;</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 cybersecurity incident response plan that includes procedures for responding to cybersecurity incidents; and</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 third-party risk management process for service providers, suppliers, and vendors.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date, we are not aware of risks from cybersecurity threats that have materially affected us, including our business strategy, results of operations, or financial condition. As we face evolving cybersecurity threats, we continue to monitor and reassess these risks to effectively mitigate them as part of our enterprise risk management program.</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considers cybersecurity risk as part of its risk oversight function and has delegated oversight of cybersecurity and other information technology risks to the Audit Committee. The Audit Committee oversees management’s implementation of the cybersecurity risk management program.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Audit Committee receives quarterly reports from management on our cybersecurity risks. In addition, management updates the Audit Committee, as necessary, regarding any material cybersecurity incidents, as well as any incidents with lesser potential impact. Our incident response procedures are coordinated with our disclosure controls and procedures to facilitate timely escalation to senior management and the Audit Committee for materiality assessment and, if required, current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Audit Committee reports to the full Board regarding its activities, including those related to cybersecurity. The full Board also receives briefings from management on our cybersecurity risk management program. Board members receive presentations on cybersecurity topics from our IT management team, internal security staff, or external experts as part of the Board’s continuing education. Six members of our Board have information security expertise, including Joseph C. Beery, Lewis Chew, Gary S. Guthart, Ph.D., Amal M. Johnson, Sreelakshmi Kolli, and Keith R. Leonard, Jr.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team, including our IT management team,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is led by our Senior Director, IT Cybersecurity, who is within the organization of our Chief Information Officer (“CIO”). Our Senior Director, IT Cybersecurity has over 20 years of extensive information technology experience, including cybersecurity policies and standards, vulnerability management, data loss prevention, threat intelligence, incident response, risk management, and system, network, and web security. He holds a Certified Information Systems Security Professional (“CISSP”) certification. Our CIO holds a bachelor’s degree in Electronics Engineering from the University of Mumbai and has over 20 years of experience in CIO and other IT leadership positions at various public companies. Our management team has certifications from various organizations, such as ISC2 and Global Information Assurance.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team oversees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own approximately 4.1 million square feet of space on 128 acres of land in Sunnyvale, California, where we house our principal headquarters, research and development, service, and support functions, as well as certain of our manufacturing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Outside of Sunnyvale, California, we own facilities in other U.S. locations that are used for sales, training, manufacturing, engineering, and administrative functions, including approximately 1.7 million square feet of space on 69 acres of land in Peachtree Corners, Georgia. We also lease approximately 1.1 million square feet of space for certain manufacturing, engineering, warehousing, and support functions at various locations in the 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Outside of the U.S., we own and/or lease properties in Mexicali, Mexico, Germany, and Bulgaria, primarily for manufacturing operations, and Aubonne, Switzerland, primarily for our international headquarters. In China, our Joint Venture leases facilities for research and development, manufacturing, and sales operations. In Israel, we lease facilities for research and development. In addition, we lease various international facilities for sales and other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information included in </w:t>
      </w:r>
      <w:hyperlink w:anchor="ia1fb1a5252904fe68dcec7c16634164c_259">
        <w:r>
          <w:rPr>
            <w:rStyle w:val="InternetLink"/>
            <w:rFonts w:ascii="Times New Roman;serif" w:hAnsi="Times New Roman;serif"/>
            <w:b w:val="false"/>
            <w:color w:val="0000FF"/>
            <w:sz w:val="20"/>
            <w:u w:val="single"/>
          </w:rPr>
          <w:t>Note 8 to the Consolidated Financial Statements</w:t>
        </w:r>
      </w:hyperlink>
      <w:r>
        <w:rPr>
          <w:color w:val="000000"/>
        </w:rPr>
        <w:t xml:space="preserve"> </w:t>
      </w:r>
      <w:r>
        <w:rPr>
          <w:rFonts w:ascii="Times New Roman;serif" w:hAnsi="Times New Roman;serif"/>
          <w:b w:val="false"/>
          <w:color w:val="000000"/>
          <w:sz w:val="20"/>
        </w:rPr>
        <w:t>included in Part II, Item 8 of this report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Global Select Market under the symbol “ISRG.”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28, 2026, there were 122 stockholders of record of our common stock, although there are a significantly larger number of beneficial owners of our common stock.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dividends on our common stock. We currently intend to retain earnings for use in the operation and expansion of our business. In addition, we may use a portion of our retained earnings to repurchase shares of our common stock, if appropriate.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Please see Item 12. “Security Ownership of Certain Beneficial Owners and Management and Related Stockholder Matters” under Part III of this Annual Report on Form 10-K for information on where to find information required by Item 201(d) of Regulation S-K.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as partial consideration for the acquisition of a business, we issued 29,572 shares of common stock to the sellers of such business. The shares were issued pursuant to an exemption from registration in Section 4(a)(2) of the Securities Act of 1933. We relied on this exemption from registration based, in part, on the nature of the transaction and the representations made by the sellers of the business.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our common stock repurchase activity for the quarter ended December 31, 2025.</w:t>
      </w:r>
    </w:p>
    <w:tbl>
      <w:tblPr>
        <w:tblW w:w="10205" w:type="dxa"/>
        <w:jc w:val="left"/>
        <w:tblInd w:w="0" w:type="dxa"/>
        <w:tblLayout w:type="fixed"/>
        <w:tblCellMar>
          <w:top w:w="28" w:type="dxa"/>
          <w:left w:w="28" w:type="dxa"/>
          <w:bottom w:w="28" w:type="dxa"/>
          <w:right w:w="28" w:type="dxa"/>
        </w:tblCellMar>
      </w:tblPr>
      <w:tblGrid>
        <w:gridCol w:w="1304"/>
        <w:gridCol w:w="1040"/>
        <w:gridCol w:w="1054"/>
        <w:gridCol w:w="440"/>
        <w:gridCol w:w="440"/>
        <w:gridCol w:w="441"/>
        <w:gridCol w:w="109"/>
        <w:gridCol w:w="109"/>
        <w:gridCol w:w="109"/>
        <w:gridCol w:w="211"/>
        <w:gridCol w:w="721"/>
        <w:gridCol w:w="109"/>
        <w:gridCol w:w="109"/>
        <w:gridCol w:w="109"/>
        <w:gridCol w:w="109"/>
        <w:gridCol w:w="538"/>
        <w:gridCol w:w="538"/>
        <w:gridCol w:w="540"/>
        <w:gridCol w:w="109"/>
        <w:gridCol w:w="109"/>
        <w:gridCol w:w="109"/>
        <w:gridCol w:w="281"/>
        <w:gridCol w:w="541"/>
        <w:gridCol w:w="1026"/>
      </w:tblGrid>
      <w:tr>
        <w:trPr/>
        <w:tc>
          <w:tcPr>
            <w:tcW w:w="130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Period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w:t>
              <w:br/>
              <w:t>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 As</w:t>
              <w:br/>
              <w:t>Part of a Publicly</w:t>
              <w:br/>
              <w:t>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br/>
              <w:t>Amount of Shares That</w:t>
              <w:br/>
              <w:t>May Yet be Purchased</w:t>
              <w:br/>
              <w:t>Under the Program (1)</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to October 31, 2025</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463,190 </w:t>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 to November 30, 2025</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33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December 1 to December 31, 2025</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billion</w:t>
            </w:r>
          </w:p>
        </w:tc>
      </w:tr>
      <w:tr>
        <w:trPr/>
        <w:tc>
          <w:tcPr>
            <w:tcW w:w="33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during quarter ended December 31, 2025</w:t>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463,190 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463,190 </w:t>
            </w:r>
          </w:p>
        </w:tc>
        <w:tc>
          <w:tcPr>
            <w:tcW w:w="5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(1)Since March 2009, we have had an active stock repurchase program (the “Repurchase Program”). As of December 31, 2025, our Board of Directors (our “Board”) had authorized an aggregate amount of up to $13.0 billion for stock repurchases, of which the most recent authorization occurred in May 2025, when our Board increased the authorized amount available under our Repurchase Program to $4.0 billion, including amounts remaining under previous authorization. As of December 31, 2025, the remaining amount available to repurchase shares under the authorized Repurchase Program was $1.7 billion. The authorized Repurchase Program does not have an expiration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This graph is not “soliciting material” or deemed “filed” with the SEC or subject to Regulation 14A or 14C (17 CFR 240.14a-1–240.14a-104 or 240.14c-1–240.14c-101) for purposes of Section 18 of the Exchange Act, or otherwise subject to liabilities under that Section, and shall not be deemed incorporated by reference into any filings of Intuitive Surgical, Inc. under the Securities Act of 1933, as amended, whether made before or after the date hereof and irrespective of any general incorporation language in any such filing.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graph set forth below compares the cumulative total stockholder return on our common stock between December 31, 2020, and December 31, 2025, with the cumulative total return of (i) the Nasdaq Composite Index, (ii) the S&amp;P 500 Healthcare Index, and (iii) the S&amp;P 500 Index over the same period. This graph assumes an investment of $100.00 on December 31, 2020, in our common stock, the Nasdaq Composite Index, the S&amp;P Healthcare Index, and the S&amp;P 500 Index and assumes the re-investment of dividends, if any.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comparisons shown in the graph below are based on historical data. We caution that the stock price performance shown in the graph below is not necessarily indicative of, nor is it intended to forecast, the potential future performance of our common stock.</w:t>
      </w:r>
    </w:p>
    <w:tbl>
      <w:tblPr>
        <w:tblW w:w="10205" w:type="dxa"/>
        <w:jc w:val="center"/>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COMPARISON OF CUMULATIVE TOTAL RETURN AMONG INTUITIVE, NASDAQ COMPOSITE, S&amp;P HEALTHCARE INDEX, AND S&amp;P 500 INDEX</w:t>
            </w:r>
          </w:p>
        </w:tc>
      </w:tr>
    </w:tbl>
    <w:p>
      <w:pPr>
        <w:pStyle w:val="TextBody"/>
        <w:bidi w:val="0"/>
        <w:spacing w:before="0" w:after="0"/>
        <w:jc w:val="center"/>
        <w:rPr/>
      </w:pPr>
      <w:r>
        <w:rPr/>
        <w:drawing>
          <wp:inline distT="0" distB="0" distL="0" distR="0">
            <wp:extent cx="5715000" cy="3810000"/>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3"/>
                    <a:stretch>
                      <a:fillRect/>
                    </a:stretch>
                  </pic:blipFill>
                  <pic:spPr bwMode="auto">
                    <a:xfrm>
                      <a:off x="0" y="0"/>
                      <a:ext cx="5715000" cy="3810000"/>
                    </a:xfrm>
                    <a:prstGeom prst="rect">
                      <a:avLst/>
                    </a:prstGeom>
                  </pic:spPr>
                </pic:pic>
              </a:graphicData>
            </a:graphic>
          </wp:inline>
        </w:drawing>
      </w:r>
      <w:bookmarkStart w:id="1" w:name="i-2"/>
      <w:bookmarkEnd w:id="1"/>
    </w:p>
    <w:tbl>
      <w:tblPr>
        <w:tblW w:w="10190" w:type="dxa"/>
        <w:jc w:val="center"/>
        <w:tblInd w:w="0" w:type="dxa"/>
        <w:tblLayout w:type="fixed"/>
        <w:tblCellMar>
          <w:top w:w="28" w:type="dxa"/>
          <w:left w:w="28" w:type="dxa"/>
          <w:bottom w:w="28" w:type="dxa"/>
          <w:right w:w="28" w:type="dxa"/>
        </w:tblCellMar>
      </w:tblPr>
      <w:tblGrid>
        <w:gridCol w:w="818"/>
        <w:gridCol w:w="721"/>
        <w:gridCol w:w="72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2020</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Healthcare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should be read in conjunction with our Consolidated Financial Statements and Notes thereto.</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refer to our fiscal years ended December 31, 2025, 2024, and 2023 as “2025,” “2024,” and “2023,” respectively. Unless the context requires otherwise, we are referring to Intuitive Surgical, Inc. and its consolidated subsidiaries when we use the terms “Intuitive,” the “Company,” “we,” “our,” or “us.”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section of the Annual Report on Form 10-K generally discusses 2025 and 2024 items and year-to-year comparisons between 2025 and 2024. Discussions of 2023 items and year-to-year comparisons between 2024 and 2023 that are not included in this report on Form 10-K can be found in “Management’s Discussion and Analysis of Financial Condition and Results of Operations” in Part II, Item 7 of the Company’s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Open surgery remains a prevalent form of surgery and is used in almost every area of the body. However, the large incisions required for open surgery create trauma to patients, typically resulting in longer hospitalization and recovery times, increased hospitalization costs, and additional pain and suffering relative to minimally invasive surgery, where MIS is available. For over four decades, MIS has reduced trauma to patients by allowing selected surgeries to be performed through small ports rather than large incisions. MIS has been widely adopted for certain surgical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Da Vinci surgical systems enable surgeons to extend the benefits of MIS to many patients who would otherwise undergo a more invasive surgery by using computational, robotic, and imaging technologies to overcome many of the limitations of traditional open surgery or conventional MIS. Surgeons using a da Vinci surgical system operate while seated at a console viewing a 3D, high-definition image of the surgical field. This immersive console connects surgeons to the surgical field and their instruments. While seated at the console, the surgeon manipulates instrument controls in a natural manner, similar to open surgical technique. Our technology is designed to provide surgeons with a range of articulation of the surgical instruments used in the surgical field analogous to the motions of a human wrist, while filtering out the tremor inherent in a surgeon’s hand. In designing our products, we focus on making our technology easy and safe to use.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da Vinci products fall into five broad categories: da Vinci surgical systems, da Vinci instruments and accessories, da Vinci stapling, da Vinci energy, and da Vinci vision. We provide a comprehensive suite of systems, learning, and services offerings. Digitally enabled for nearly three decades, these three offerings aim to decrease variability by providing dependable, consistent functionality and an integrated user experience. Our systems category includes robotic platforms, software, vision, energy, and instruments and accessories. Our learning category includes learning and enabling technology, such as simulation and telepresence, as well as technical training programs and personalized peer-to-peer learning opportunities. We have a global network of field service engineers and distributors through which we deliver a suite of services, including installation, repair, maintenance, around-the-clock technical support, and system monitoring. We also offer customized analytics and consultation to hospitals for program optimization.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commercialized the following da Vinci surgical systems: the da Vinci standard surgical system in 1999, the da Vinci S surgical system in 2006, the da Vinci Si surgical system in 2009, the fourth-generation da Vinci Xi surgical system in 2014, and the fifth-generation da Vinci 5 surgical system in 2024. We extended our fourth-generation platform by adding the da Vinci X surgical system, commercialized in 2017 and targeted at more cost-sensitive markets.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2024, we obtained FDA clearance for our da Vinci 5 surgical system, our next-generation multi-port robotic system, for use in all surgical specialties and procedures indicated for da Vinci Xi, except for cardiac and pediatric indications. In October 2024, we obtained regulatory clearance in South Korea for the da Vinci 5 surgical system for use in urologic, general, gynecologic, thoracoscopic, thoracoscopically-assisted cardiotomy, and transoral otolaryngology surgical procedures. In June 2025, we obtained regulatory clearance in Japan for the da Vinci 5 surgical system for use in all surgical specialties and procedures indicated for da Vinci Xi, except for cardiac indications. In July 2025, we obtained European certification in accordance with the EU MDR for the da Vinci 5 surgical system for adult and pediatric use in minimally invasive endoscopic procedures across abdominopelvic and thoracoscopic surgical procedures, including urologic, gynecologic, and general laparoscopic procedures, excluding the use of force feedback. We intend to seek European certification for the use of force feedback in the future. In our OUS markets, we are in the midst of a phased launch of our da Vinci 5 surgical system over several quarters. As of December 31, 2025, we have an installed base of 1,231 da Vinci 5 surgical systems.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extended our fourth-generation platform by adding the da Vinci SP surgical system, commercialized in 2018. The da Vinci SP surgical system accesses the body through a single incision, while the other da Vinci surgical systems access the body through multiple incisions. All da Vinci surgical systems include a surgeon’s console (or consoles), imaging electronics, a patient-side cart, and computational hardware and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 the early stages of launching our da Vinci SP surgical system, and we have an installed base of 377 da Vinci SP surgical systems as of December 31, 2025. We have received FDA clearance for the da Vinci SP surgical system for urologic, colorectal, general thoracoscopic, and certain transoral procedures. Additionally, the da Vinci SP surgical system has received regulatory clearance in South Korea for a broad set of procedures. The da Vinci SP surgical system has also received regulatory clearance in Japan for the same set of procedures that are currently allowed with the da Vinci Xi surgical system in Japan. In January 2024, the da Vinci SP surgical system received European certification in accordance with Regulation (EU) 2017/745 of the European Parliament and of the Council of 5 April 2017 on medical devices (the “EU MDR”) for use in endoscopic abdominopelvic, thoracoscopic, transoral otolaryngology, transanal colorectal, and breast surgical procedures, and we are commercializing the da Vinci SP surgical system in select major European countries as part of a measured rollout strategy. In August 2024, we obtained regulatory clearance in Taiwan for our da Vinci SP surgical system for use in endoscopic abdominopelvic, thoracoscopic, transoral otolaryngology, transanal colorectal, transanal total mesorectal excision, and breast surgical procedures. We plan to seek FDA clearances for additional indications for the da Vinci SP surgical system and expand the system’s regulatory approvals (including for additional indications) in other OUS markets over time. The success of the da Vinci SP surgical system is dependent on positive experiences and improved clinical outcomes for the procedures for which it has been cleared as well as securing additional clinical clearances.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approximately 70 different multi-port da Vinci instruments to provide surgeons with flexibility in choosing the types of tools needed to perform a particular surgery. These multi-port instruments are generally robotically controlled and provide end effectors (tips) that are similar to those used in either open or laparoscopic surgery. We offer advanced instrumentation for the da Vinci 5, da Vinci X, and da Vinci Xi surgical systems, including da Vinci energy and da Vinci stapler products, to provide surgeons with sophisticated, computer-aided tools to precisely and efficiently interact with tissue. The da Vinci 5, da Vinci X, and da Vinci Xi surgical systems generally share the same instruments, whereas the da Vinci Si surgical system uses instruments that are not compatible with the da Vinci 5, da Vinci X, and da Vinci Xi systems. Additionally, we have introduced a unique set of force feedback instruments that are only compatible with our da Vinci 5 surgical system. We also currently offer 14 core instruments on our da Vinci SP surgical system. We plan to expand our da Vinci SP instrument offering over time.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learning and enabling technology offerings facilitate access to education and training on our products. Our enabling technologies include telepresence and Advanced Insights Suite (which includes Case Insights and Insights Engine), and our learning technology solutions include Intuitive Learning, SimNow, customized training models, remote case observations, and remote proctoring.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2019, we commercialized our Ion endoluminal system, which is a flexible, robotic-assisted, catheter-based platform that utilizes instruments and accessories for which the first cleared indication is minimally invasive biopsies in the lung. Our Ion system extends our commercial offering beyond surgery into diagnostic, endoluminal procedures. The system features an ultra-thin, ultra-maneuverable catheter that can articulate 180 degrees in all directions and allows navigation far into the peripheral lung and provides the stability necessary for precision in a biopsy. Many suspicious lesions found in the lung may be small and difficult to access, which can make diagnosis challenging, and Ion helps physicians obtain tissue samples from deep within the lung, which could help enable earlier diagnosis. Our Ion endoluminal system has received FDA clearance, and OUS regulatory clearances include European certification in accordance with the EU MDR, regulatory clearance in South Korea, and NMPA regulatory clearance in China. We plan to seek additional clearances, approvals, and certifications for our Ion endoluminal system in OUS markets over time.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success of new product introductions depends on a number of factors including, but not limited to, pricing, competition, geographic market and consumer acceptance, the effective forecasting and management of product demand, inventory levels, the management of manufacturing and supply costs, and the risk that new products may have quality or other defects in the early stages of introduction.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Trade and Tariffs Update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Beginning in 2025, the U.S. implemented a baseline tariff framework on most imports with higher country- and product-specific rates for certain trading partners, including Mexico, Germany, and China, among others, alongside reciprocal measures announced by other jurisdictions. Our disclosure reflects tariffs currently in effect or announced as of the date of this report and assumes such tariffs remain in place, consistent with how we reflect tariff impacts in our financial outlook. We currently manufacture a significant majority of our instruments and accessories in Mexicali, Mexico. Most of these products qualify as originating under the USMCA and, therefore, have not been subject to U.S. import tariffs to date. We also import certain raw materials and finished goods from outside of the U.S. that are subject to tariffs, including our endoscopes, a majority of which are manufactured in Germany. In addition, our operations involve importing certain raw materials from China, importing sub-assemblies to support our local da Vinci Xi surgical system manufacturing in China, and selling U.S.-manufactured da Vinci Xi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surgical systems into China. These imports into the U.S. and China are subject to tariffs, which we expect to continue to have an adverse impact on the product cost of our da Vinci Xi surgical system in China.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suppliers have also incurred incremental tariffs and have passed or may pass on those additional costs to us. These pass-through tariffs and other specific tariff actions against steel and aluminum, critical minerals, semiconductors, and other products have not had a material direct impact on our operations to date, but the long-term effect of these and other existing and future tariff actions is difficult to predict.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U.S. tariffs have also given rise to trade measures by other countries, including additional restrictions on certain exports. These trade measures could impact the reliability and efficiency of our supply chain if they are imposed on materials important to our production operations. In particular, restrictions on the export of rare earth elements, including magnets, and critical minerals from China could potentially restrict access to components used in many of our products and could have a material adverse effect on our business, financial condition, or results of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tariffs and other trade measures have increased our cost of revenues by approximately $63.0 million. Based on the announced and implemented global tariffs as of the date of this report, and assuming such tariffs remain in place, we expect our cost of revenues driven by tariffs and other trade measures to continue to increase in 2026. Future changes to tariff rates and the imposition of new tariffs by the U.S. and/or other countries could result in a material impact to our results of operations. The ultimate impact of changes to tariffs and trade barriers will depend on various factors, including the timing, amount, scope, and nature of any tariffs or trade barriers that are implemented, all of which could have a material adverse effect on our business, financial condition, or results of operations.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Remanufactured Instruments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Third parties have offered, and may continue to offer, instruments that have been modified to support the use of some of our limited-use instruments beyond their labeled life. We are aware that the FDA has granted 510(k) clearance for the remanufacturing of certain of these instruments for use with our da Vinci Si, da Vinci X, and da Vinci Xi surgical systems. To date, such offerings have not had a material impact on our revenues, but such activities could result in reduced revenue if these products have broader uptake as well as generate negative publicity for us if these products cause injuries and/or do not function as intended when used. Both of these possibilities could have a material adverse effect on our business, financial condition, or results of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further details on remanufactured instruments, refer to the “Products &amp; Services – Da Vinci – Instruments” section of our corporate website. The inclusion of a reference to our corporate website in this filing does not include or incorporate by reference the information on our website into this Form 10-K.</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Macroeconomic Environment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future results of operations and liquidity could be materially adversely affected by uncertainties surrounding macroeconomic and geopolitical factors both in the U.S. and globally. These uncertainties include any introduction or modification of tariffs or trade barriers, supply chain challenges, inflationary pressures, elevated interest rates, and disruptions in the commodity markets stemming from conflicts, such as those between Russia and Ukraine and conflicts in the Middle East.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2025, we continued to experience isolated stresses to supply, particularly for specific component materials impacted by evolving trade requirements and at certain subcontract suppliers that were operationally challenged to meet our production requirements. These isolated instances did not have a material impact on our business during the fourth quarter of 2025. As a result of the escalation in tariffs and country-specific trade requirements, including export license controls between major economies, we may experience tariff-related inflation in raw materials costs as well as supply shortages based on shipment delays and the availability of alternative sources of supply for critical materials used in the manufacture of finished products.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Elevated interest rates may also impact the ability of certain suppliers to fund necessary investments in capacity and infrastructure. Any insolvency of certain suppliers, including sole- and single-sourced suppliers, may present heightened continuity risks. Additionally, although incidents of cybersecurity breaches have not significantly impacted our supply chain to date, they continue to be actively monitored to protect supply continuity. We are actively engaged in activities that seek to mitigate the impact of any supply chain risks and disruptions on our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hospitals continue to experience challenges with staffing and cost pressures that could affect their ability to provide patient care. Additionally, certain hospitals are facing significant financial pressure as supply chain constraints and inflation have driven up operating costs and elevated interest rates have made access to credit more expensive. Hospitals may also be adversely affected by the liquidity concerns as a result of the broader macroeconomic environment. Any or all of these factors could negatively impact the number of da Vinci procedures performed or surgical systems placed and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Regulatory Activities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must meet the requirements of a large and growing body of international regulations and standards that govern the product safety, efficacy, advertising, labeling, safety reporting design, manufacture, materials content and sourcing, testing, certification, packaging, installation, use, and disposal of our products. Examples of such standards include electrical safety standards, such as those of the International Electrotechnical Commission, and composition standards, such as the Reduction of Hazardous Substances and the Waste Electrical and Electronic Equipment Directives in the EU. Failure to meet these standards could limit our ability to market our products in those regions that require compliance with such standards.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products and operations are also subject to increasingly stringent medical device, privacy, and other regulations by national, regional, federal, state, and local authorities. After a device is placed on the market, numerous FDA and comparable foreign regulatory requirements continue to apply. These requirements include establishment registration, potential quality system and manufacturing audits and inspections, and device listing with the FDA or other foreign regulatory authorities and compliance with medical device reporting regulations, which require that manufacturers report to the FDA or other foreign regulatory authorities if their device caused or contributed, or may have caused or contributed, to a death or serious injury or malfunctioned in a way that would likely cause or contribute to a death or serious injury if it were to recur.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that timelines for the introduction of new products and/or indications may be extended relative to past experience as a result of these regulations. For example, we have seen elongated regulatory approval timelines in the U.S. and Europe.</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Clearances, Approvals, and Certifications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generally obtained the regulatory clearances, approvals, and certifications required to market our products for our targeted surgical specialties within the U.S., South Korea, Japan, and the European markets in which we operate. We have additionally obtained regulatory clearances, approvals, and certifications for the following products over the past several years:</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Da Vinci Surgical Systems</w:t>
      </w:r>
    </w:p>
    <w:p>
      <w:pPr>
        <w:pStyle w:val="TextBody"/>
        <w:bidi w:val="0"/>
        <w:spacing w:lineRule="auto" w:line="288" w:before="0" w:after="6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Multi-port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January 2026, we obtained FDA clearance for the use of our da Vinci 5 surgical system in selected thoracoscopically-assisted cardiac surgical procedures using non-force feedback instruments, including mitral valve repair and replacement, tricuspid valve repair, IMA mobilization for cardiac revascularization, patent foramen ovale closure, atrial septal defect repair, left atrial appendage closure/occlusion, atrial myxoma excision, and epicardial pacing lead placement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September 2025, we obtained regulatory clearance in Japan for our Vessel Sealer Curved for use with our da Vinci 5, da Vinci X, and da Vinci Xi surgical systems for grasping and blunt dissection of tissue, as well as bipolar coagulation and mechanical transection of blood vessels (veins and arteries) up to 7mm in diameter, lymphatic vessels, and tissue bundles that fit within the instrument’s jaws. In June 2025, we obtained FDA clearance for the same instrument.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July 2025, we obtained European certification in accordance with the EU MDR for our da Vinci 5 surgical system for adult and pediatric use in minimally invasive endoscopic procedures across abdominopelvic and thoracoscopic surgical procedures, including urologic, gynecologic, and general laparoscopic procedures, excluding the use of force feedback. We intend to seek European certification for the use of force feedback in the future. In June 2025, we obtained regulatory clearance in Japan for the da Vinci 5 surgical system for use in all surgical specialties and procedures indicated for da Vinci Xi, except for cardiac indications. In October 2024, we obtained regulatory clearance in South Korea for the da Vinci 5 surgical system for use in urologic, general, gynecologic, thoracoscopic, thoracoscopically-assisted cardiotomy, and transoral otolaryngology surgical procedures. In March 2024, we obtained FDA clearance for our da Vinci 5 surgical system for use in all surgical specialties and procedures indicated for da Vinci Xi, except for cardiac and pediatric indications as well as one contraindication related to the use of force feedback in hysterectomy and myomectomy surgical procedures. In our OUS markets, we are early in the launch of our da Vinci 5 surgical system.</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December 2024, we obtained European certification in accordance with the EU MDR for our E-200 generator. In July 2023, we received regulatory clearance for our E-200 generator in Japan and South Korea. In November 2022, we obtained FDA clearance for our E-200 generator. The E-200 generator can be used in da Vinci robotic procedures, as well as non-robotic open and laparoscopic procedures, to deliver high-frequency energy for cutting, coagulation, and vessel sealing of tissues. The E-200 generator includes the same advanced energy capability as the E-100 generator and supports the same vessel sealing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September 2024, we obtained FDA clearance for our redesigned 8 mm SureForm 30 stapler and 8 mm SureForm 30 Curved-Tip stapler instruments and reloads for use with our da Vinci 5, da Vinci X, and da Vinci Xi surgical systems in general, thoracic, gynecologic, urologic, and pediatric surgical procedures. In April 2024, we obtained European certification in accordance with the EU MDR for our redesigned 8 mm SureForm 30 stapler and 8 mm SureForm 30 Curved-Tip stapler instruments and reloads for use in general, thoracic, gynecologic, urologic, and pediatric surgical procedures.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August 2023, following approval by China’s NMPA for a local version of our da Vinci Xi surgical system in June 2023, our Joint Venture received a manufacturing license that permits the Joint Venture to manufacture our da Vinci Xi surgical system for sale to customers in China.</w:t>
      </w:r>
    </w:p>
    <w:p>
      <w:pPr>
        <w:pStyle w:val="TextBody"/>
        <w:bidi w:val="0"/>
        <w:spacing w:lineRule="auto" w:line="288" w:before="120" w:after="12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Single-port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December 2025, we obtained FDA clearance for the use of our da Vinci SP surgical system in cholecystectomy, inguinal hernia repair, appendectomy, and nipple sparing mastectomy (NSM) procedures. In May 2025, we obtained FDA clearance for the use of our da Vinci SP surgical system in transanal local excision/resection, a form of minimally invasive surgery performed through a natural orifice to avoid abdominal surgical incisions, for select procedures. In December 2024, we obtained FDA clearance for the use of our da Vinci SP surgical system in colorectal surgical procedures. In July 2024, we obtained FDA clearance for the use of our da Vinci SP surgical system in general thoracoscopic surgical procedures. In April 2023, we obtained FDA clearance for the use of our da Vinci SP surgical system in simple prostatectomy procedures and in transvesical approaches to simple and radical prostatectomy.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June 2025, we obtained regulatory clearances in South Korea and Japan for our SP SureForm 45 stapler and our SP SureForm 45 curved-tip stapler for use with our da Vinci SP surgical system. In March 2025, we obtained FDA clearance for our SP SureForm 45 stapler and our SP SureForm 45 curved-tip stapler for use with our da Vinci SP surgical system, which may be particularly useful in thoracic and colorectal surgical procedures.</w:t>
      </w:r>
    </w:p>
    <w:p>
      <w:pPr>
        <w:pStyle w:val="TextBody"/>
        <w:bidi w:val="0"/>
        <w:spacing w:lineRule="auto" w:line="288" w:before="120" w:after="120"/>
        <w:ind w:left="0" w:right="0" w:hanging="360"/>
        <w:jc w:val="both"/>
        <w:rPr/>
      </w:pPr>
      <w:r>
        <w:rPr>
          <w:color w:val="212529"/>
        </w:rPr>
        <w:t>◦</w:t>
      </w:r>
      <w:r>
        <w:rPr>
          <w:rFonts w:ascii="Times New Roman;serif" w:hAnsi="Times New Roman;serif"/>
          <w:b w:val="false"/>
          <w:color w:val="000000"/>
          <w:sz w:val="20"/>
        </w:rPr>
        <w:t>In August 2024, we obtained regulatory clearance in Taiwan for our da Vinci SP surgical system for use in endoscopic abdominopelvic, thoracoscopic, transoral otolaryngology, transanal colorectal, transanal total mesorectal excision, and breast surgical procedures. In January 2024, we obtained European certification in accordance with the EU MDR for our da Vinci SP surgical system for use in endoscopic abdominopelvic, thoracoscopic, transoral otolaryngology, transanal colorectal, and breast surgical procedures.</w:t>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Ion Endoluminal System</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October 2025, we obtained FDA clearance for software advancements for the Ion endoluminal system. This software release introduces artificial intelligence across Ion’s entire navigational workflow, while also integrating new advanced imaging capabilities to support accurate and efficient lung biopsies.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In February 2025, we obtained European certification in accordance with the EU MDR to extend the number of uses of our catheter instrument used with our Ion endoluminal system from five to eight uses. In April 2024, we obtained FDA clearance to extend the number of uses of our catheter instrument from five to eight uses.</w:t>
      </w:r>
    </w:p>
    <w:p>
      <w:pPr>
        <w:pStyle w:val="TextBody"/>
        <w:bidi w:val="0"/>
        <w:spacing w:lineRule="auto" w:line="288" w:before="120" w:after="120"/>
        <w:ind w:left="0" w:right="0" w:hanging="360"/>
        <w:jc w:val="both"/>
        <w:rPr/>
      </w:pPr>
      <w:r>
        <w:rPr>
          <w:color w:val="212529"/>
        </w:rPr>
        <w:t>◦</w:t>
      </w:r>
      <w:r>
        <w:rPr>
          <w:rFonts w:ascii="Times New Roman;serif" w:hAnsi="Times New Roman;serif"/>
          <w:b w:val="false"/>
          <w:color w:val="000000"/>
          <w:sz w:val="20"/>
        </w:rPr>
        <w:t>In March 2024, we received NMPA regulatory clearance for our Ion endoluminal system in China. We placed our first Ion systems in China during the third quarter of 2024 and will continue our rollout of the Ion system in China in a measured fashion. In September 2023, we received regulatory clearance in South Korea for our Ion endoluminal system. In March 2023, we obtained European certification in accordance with the EU MDR for our Ion endoluminal system.</w:t>
      </w:r>
    </w:p>
    <w:p>
      <w:pPr>
        <w:pStyle w:val="TextBody"/>
        <w:bidi w:val="0"/>
        <w:spacing w:lineRule="auto" w:line="288" w:before="120" w:after="120"/>
        <w:ind w:left="0" w:right="0" w:firstLine="360"/>
        <w:jc w:val="both"/>
        <w:rPr/>
      </w:pPr>
      <w:r>
        <w:rPr>
          <w:rFonts w:ascii="Times New Roman;serif" w:hAnsi="Times New Roman;serif"/>
          <w:b w:val="false"/>
          <w:color w:val="000000"/>
          <w:sz w:val="20"/>
        </w:rPr>
        <w:t>In June 2023, the China National Health Commission published the 14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five-year plan quota for major medical equipment to be sold in China on its official website (the “2023 Quota”). Under the original 2023 Quota, the government will allow for the sale of 559 new surgical robots into China, which could include da Vinci surgical systems as well as surgical systems introduced by others. As of December 31, 2025, including systems that were sold in prior quarters, we have placed 162 da Vinci surgical systems under the original 2023 Quota and 5 da Vinci surgical systems under special approval. Future sales of da Vinci surgical systems under this and any previously published open quotas are uncertain, as they are open to other medical device companies that have introduced robotic-assisted surgical systems and are dependent on hospitals completing a tender process and receiving associated approvals. Our ability to track the number of systems that could be sold under these quotas in the future is limited by provincial and national agencies making such information publicly available.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Since 2022, several provinces in China have implemented significant limits on what hospitals can charge patients for surgeries using robotic surgical technology, including soft tissue surgery. These limits have impacted the number of procedures performed in those provinces as well as pricing of our instruments and accessories, which have impacted our instruments and accessories revenue. However, as of the date of this report, these limits have not had a material impact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financial condition, or results of operations, as only a small portion of our installed base in China is currently located in the impacted provinces. Companies providing robotic surgical technology, including our Joint Venture, have been meeting with Chinese government healthcare agencies to discuss these developments and to provide feedback. We cannot assure you that additional provincial or national healthcare agencies and administrations will not impose similar limits, and we expect to continue to face increased pricing pressure, both of which could further impact the number of procedures performed and our instruments and accessories revenue in China.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Japanese MHLW considers reimbursement for procedures in April of even-numbered years. The process for obtaining reimbursement requires Japanese university hospitals and surgical societies, with our support, to seek reimbursement. There are multiple pathways to obtain reimbursement for procedures, including those that require in-country clinical and economic data. An additional five da Vinci procedures were granted reimbursement in April 2024, including lobectomy for benign conditions. In addition, we received higher reimbursement for certain da Vinci rectal resection procedures, as compared to open procedure reimbursements. The additional reimbursed procedures have varying levels of conventional laparoscopic penetration and will generally be reimbursed at rates equal to the conventional laparoscopic procedures. Given the reimbursement level and laparoscopic penetration for these additional procedures, there can be no assurance that the adoption pace for these procedures will be similar to prostatectomy or partial nephrectomy, given their higher reimbursement, or any other da Vinci procedure.</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Field Actions, Recalls, and Corrections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Medical device companies have regulatory obligations to correct or remove medical devices in the field that could pose a risk to health. The definition of “recalls and corrections” is expansive and includes repair, replacement, inspections, relabeling, and issuance of new or additional instructions for use or reinforcement of existing instructions for use and training when such actions are taken for specific reasons of safety or compliance. These field actions require stringent documentation, reporting, and monitoring worldwide. There are other actions that a medical device manufacturer may take in the field without reporting including, but not limited to, routine servicing and stock rotations.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determine whether a field action is reportable in any regulatory jurisdiction, we prepare and submit notifications to the appropriate regulatory agency for the particular jurisdiction. Regulators can require the expansion, reclassification, or change in scope and language of the field action. In general, upon submitting required notifications to regulators regarding a field action that is a recall or correction, we will notify customers regarding the field action, provide any additional documentation required in their national language, and arrange, as required, the return or replacement of the affected product or a field service visit to perform the correction.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Field actions, as well as certain outcomes from regulatory activities, can result in adverse effects on our business, including damage to our reputation, delays by customers of purchase decisions, reduction or stoppage of the use of installed systems, and reduced revenue as well as increased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2025 Operational and Financial Highlights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Total revenue increased by 21% to $10.1 billion for the year ended December 31, 2025, compared to $8.4 billion for the year ended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Approximately 3,153,000 da Vinci procedures were performed during the year ended December 31, 2025, an increase of 18% compared to approximately 2,683,000 da Vinci procedures for the year ended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Approximately 144,100 Ion procedures were performed during the year ended December 31, 2025, an increase of 51% compared to approximately 95,500 Ion procedures for the year ended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Instruments and accessories revenue increased by 19% to $6.02 billion for the year ended December 31, 2025, compared to $5.08 billion for the year ended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Systems revenue increased by 26% to $2.47 billion for the year ended December 31, 2025, compared to $1.97 billion for the year ended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1,721</w:t>
      </w:r>
      <w:r>
        <w:rPr>
          <w:color w:val="000000"/>
        </w:rPr>
        <w:t xml:space="preserve"> </w:t>
      </w:r>
      <w:r>
        <w:rPr>
          <w:rFonts w:ascii="Times New Roman;serif" w:hAnsi="Times New Roman;serif"/>
          <w:b w:val="false"/>
          <w:color w:val="000000"/>
          <w:sz w:val="20"/>
        </w:rPr>
        <w:t>da Vinci surgical systems were placed during the year ended December 31, 2025, an increase of 13% compared to 1,526 systems during the year ended December 31, 2024. The 2025 da Vinci surgical system placements included 870 da Vinci 5 surgical systems, compared with 362 in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As of December 31, 2025, we had a da Vinci surgical system installed base of approximately 11,106 systems, an increase of 12% compared to the installed base of approximately 9,902 systems as of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Utilization of da Vinci surgical systems, measured in terms of procedures per system per year, increased 3% relative to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195 Ion systems were placed during the year ended December 31, 2025, a decrease of 28% compared to 271 systems during the year ended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As of December 31, 2025, we had an Ion system installed base of approximately 995 systems, an increase of 24% compared to the installed base of approximately 805 systems as of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Gross profit as a percentage of revenue was 66.0% for the year ended December 31, 2025, compared to 67.5% for the year ended December 31, 2024.</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Operating income increased by 25% to $2.95 billion for the year ended December 31, 2025, compared to $2.35 billion for the year ended December 31, 2024. Operating income included $803 million and $688 million of share-based compensation expense related to employee stock plans and $20.2 million and $22.6 million of intangible asset-related charges for the years ended December 31, 2025, and 2024, respectively.</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During the year ended December 31, 2025, we repurchased 4.8 million shares of our common stock for $2.30 billion.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As of December 31, 2025, we had $9.03 billion in cash, cash equivalents, and investments. Cash, cash equivalents, and investments increased by $0.20 billion, compared to $8.83 billion as of December 31, 2024, primarily as a result of cash provided by operating activities and proceeds from stock option exercises and employee stock purchases, partially offset by cash used for repurchases of common stock, capital expenditures, and taxes paid related to net share settlements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Procedures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We model patient value as equal to </w:t>
      </w:r>
      <w:r>
        <w:rPr>
          <w:rFonts w:ascii="Times New Roman;serif" w:hAnsi="Times New Roman;serif"/>
          <w:b w:val="false"/>
          <w:i/>
          <w:color w:val="000000"/>
          <w:sz w:val="20"/>
        </w:rPr>
        <w:t>procedure efficacy / invasiveness</w:t>
      </w:r>
      <w:r>
        <w:rPr>
          <w:rFonts w:ascii="Times New Roman;serif" w:hAnsi="Times New Roman;serif"/>
          <w:b w:val="false"/>
          <w:color w:val="000000"/>
          <w:sz w:val="20"/>
        </w:rPr>
        <w:t xml:space="preserve">. In this equation, </w:t>
      </w:r>
      <w:r>
        <w:rPr>
          <w:rFonts w:ascii="Times New Roman;serif" w:hAnsi="Times New Roman;serif"/>
          <w:b w:val="false"/>
          <w:i/>
          <w:color w:val="000000"/>
          <w:sz w:val="20"/>
        </w:rPr>
        <w:t>procedure efficacy</w:t>
      </w:r>
      <w:r>
        <w:rPr>
          <w:color w:val="000000"/>
        </w:rPr>
        <w:t xml:space="preserve"> </w:t>
      </w:r>
      <w:r>
        <w:rPr>
          <w:rFonts w:ascii="Times New Roman;serif" w:hAnsi="Times New Roman;serif"/>
          <w:b w:val="false"/>
          <w:color w:val="000000"/>
          <w:sz w:val="20"/>
        </w:rPr>
        <w:t xml:space="preserve">is defined as a measure of the success of the procedure in resolving the underlying disease, and </w:t>
      </w:r>
      <w:r>
        <w:rPr>
          <w:rFonts w:ascii="Times New Roman;serif" w:hAnsi="Times New Roman;serif"/>
          <w:b w:val="false"/>
          <w:i/>
          <w:color w:val="000000"/>
          <w:sz w:val="20"/>
        </w:rPr>
        <w:t>invasiveness</w:t>
      </w:r>
      <w:r>
        <w:rPr>
          <w:color w:val="000000"/>
        </w:rPr>
        <w:t xml:space="preserve"> </w:t>
      </w:r>
      <w:r>
        <w:rPr>
          <w:rFonts w:ascii="Times New Roman;serif" w:hAnsi="Times New Roman;serif"/>
          <w:b w:val="false"/>
          <w:color w:val="000000"/>
          <w:sz w:val="20"/>
        </w:rPr>
        <w:t>is defined as a measure of patient pain and disruption of regular activities. When the patient value of a robotic-assisted procedure is greater than that of alternative treatment options, patients may benefit from seeking out surgeons or physicians and hospitals that offer robotic-assisted medical procedures, which could potentially result in a local market share shift. Adoption of robotic-assisted procedures occurs by procedure and by market and is driven by the relative patient value and total treatment costs of robotic-assisted procedures as compared to alternative treatment options for the same disease state or condition.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number and type of procedures as metrics for financial and operational decision-making and as a means to evaluate period-to-period comparisons. Management believes that the number and type of procedures provide meaningful supplemental information regarding our performance, as management believes procedure volume is an indicator of the rate of adoption of our robotic-assisted medical procedures as well as an indicator of future revenue (including revenue from usage-based operating lease arrangements). Management believes that both it and investors benefit from referring to the number and type of procedures in assessing our performance and when planning, forecasting, and analyzing future periods. The number and type of procedures also facilitate management’s internal comparisons of our historical performance. We believe that the number and type of procedures are useful to investors as metrics, because (1) they allow for greater transparency with respect to key metrics used by management in its financial and operational decision-making, and (2) they are used by institutional investors and the analyst community to help them analyze the performance of our business.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vast majority of our installed systems are connected via the internet. System logs can also be accessed by field engineers for systems that are not connected to the internet. We utilize certain methods that rely on information collected from the installed systems for determining the number and type of procedures performed that involve estimates and judgments, which are, by their nature, subject to substantial uncertainties and assumptions. Estimates and judgments for determining the number and type of procedures may be impacted over time by various factors, including changes in treatment modalities, hospital and distributor reporting behavior, and system internet connectivity. Such estimates and judgments are also susceptible to algorithmic or other technical errors. In addition, the relationship between the number and type of procedures and our revenues may fluctuate from period to period, and procedure volume growth may not correspond to an increase in revenue. The number and type of procedures are not intended to be considered in isolation or as a substitute for, or superior to, revenue or other financial information prepared and presented in accordance with GAAP.</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Da Vinci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robotic-assisted surgery using the da Vinci surgical system has the potential to grow for those procedures that offer greater patient value than to non-da Vinci alternatives and competitive total economics for healthcare providers. Our da Vinci surgical systems are used primarily in general, gynecologic, urologic, cardiothoracic, and head and neck surgical procedures. We focus our organization and investments on developing, marketing, and training products and services for procedures in which da Vinci can bring patient value relative to alternative treatment options and/or economic benefit to healthcare providers. Target procedures in general surgery include hernia repair (both ventral and inguinal), colorectal, cholecystectomy, and bariatric procedures. Target procedures in urology include prostatectomy and partial nephrectomy. Target procedures in gynecology include hysterectomy for both cancer and benign conditions and sacrocolpopexy. In cardiothoracic surgery, target procedures include lung resection. In head and neck surgery, target procedures include transoral surgery. Not all indications, procedures, or products described may be available in a given country or region or on all generations of da Vinci surgical systems. Surgeons and their patients need to consult the product labeling in their specific country and for each product in order to determine the cleared uses, as well as important limitations, restrictions, or contraindications.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approximate number of procedures performed on da Vinci surgical systems in the US and OUS for the periods presented (amounts shown in thousands):</w:t>
      </w:r>
    </w:p>
    <w:tbl>
      <w:tblPr>
        <w:tblW w:w="9629" w:type="dxa"/>
        <w:jc w:val="left"/>
        <w:tblInd w:w="0" w:type="dxa"/>
        <w:tblLayout w:type="fixed"/>
        <w:tblCellMar>
          <w:top w:w="28" w:type="dxa"/>
          <w:left w:w="28" w:type="dxa"/>
          <w:bottom w:w="28" w:type="dxa"/>
          <w:right w:w="28" w:type="dxa"/>
        </w:tblCellMar>
      </w:tblPr>
      <w:tblGrid>
        <w:gridCol w:w="661"/>
        <w:gridCol w:w="581"/>
        <w:gridCol w:w="590"/>
        <w:gridCol w:w="140"/>
        <w:gridCol w:w="140"/>
        <w:gridCol w:w="140"/>
        <w:gridCol w:w="379"/>
        <w:gridCol w:w="335"/>
        <w:gridCol w:w="244"/>
        <w:gridCol w:w="244"/>
        <w:gridCol w:w="244"/>
        <w:gridCol w:w="244"/>
        <w:gridCol w:w="379"/>
        <w:gridCol w:w="335"/>
        <w:gridCol w:w="244"/>
        <w:gridCol w:w="244"/>
        <w:gridCol w:w="244"/>
        <w:gridCol w:w="244"/>
        <w:gridCol w:w="379"/>
        <w:gridCol w:w="335"/>
        <w:gridCol w:w="244"/>
        <w:gridCol w:w="140"/>
        <w:gridCol w:w="140"/>
        <w:gridCol w:w="140"/>
        <w:gridCol w:w="216"/>
        <w:gridCol w:w="216"/>
        <w:gridCol w:w="509"/>
        <w:gridCol w:w="216"/>
        <w:gridCol w:w="216"/>
        <w:gridCol w:w="216"/>
        <w:gridCol w:w="216"/>
        <w:gridCol w:w="216"/>
        <w:gridCol w:w="598"/>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Procedures (Thousands)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U.S.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Surgery</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Gynecology</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Urology</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U.S.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OUS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Urology</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Surgery</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Gynecology</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OUS</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Procedures</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2,683 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9629"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___________</w:t>
            </w:r>
          </w:p>
        </w:tc>
      </w:tr>
      <w:tr>
        <w:trPr/>
        <w:tc>
          <w:tcPr>
            <w:tcW w:w="9629"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The approximate procedures are rounded to thousands, but the percentage changes are based on unrounded approximate procedures.</w:t>
            </w:r>
          </w:p>
        </w:tc>
      </w:tr>
    </w:tbl>
    <w:p>
      <w:pPr>
        <w:pStyle w:val="TextBody"/>
        <w:bidi w:val="0"/>
        <w:spacing w:lineRule="auto" w:line="288" w:before="0" w:after="120"/>
        <w:ind w:left="0" w:right="0" w:firstLine="360"/>
        <w:jc w:val="both"/>
        <w:rPr/>
      </w:pPr>
      <w:r>
        <w:rPr>
          <w:rFonts w:ascii="Times New Roman;serif" w:hAnsi="Times New Roman;serif"/>
          <w:b w:val="false"/>
          <w:i/>
          <w:color w:val="000000"/>
          <w:sz w:val="20"/>
        </w:rPr>
        <w:t>Overall.</w:t>
      </w:r>
      <w:r>
        <w:rPr>
          <w:color w:val="000000"/>
        </w:rPr>
        <w:t xml:space="preserve"> </w:t>
      </w:r>
      <w:r>
        <w:rPr>
          <w:rFonts w:ascii="Times New Roman;serif" w:hAnsi="Times New Roman;serif"/>
          <w:b w:val="false"/>
          <w:color w:val="000000"/>
          <w:sz w:val="20"/>
        </w:rPr>
        <w:t>Total da Vinci procedures performed by our customers grew approximately 18% in 2025, compared to approximately 17% in 2024, largely attributable to growth in U.S. general surgery, OUS general surgery (particularly cancer), OUS urologic surgery, and U.S. gynecologic surgery procedures.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U.S. Procedures.</w:t>
      </w:r>
      <w:r>
        <w:rPr>
          <w:color w:val="000000"/>
        </w:rPr>
        <w:t xml:space="preserve"> </w:t>
      </w:r>
      <w:r>
        <w:rPr>
          <w:rFonts w:ascii="Times New Roman;serif" w:hAnsi="Times New Roman;serif"/>
          <w:b w:val="false"/>
          <w:color w:val="000000"/>
          <w:sz w:val="20"/>
        </w:rPr>
        <w:t>U.S. da Vinci procedures grew approximately 15% in 2025, compared to approximately 15% in 2024. The 2025 U.S. procedure growth was largely attributable to growth in general surgery and gynecologic surgery procedures.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U.S. General Surgery. </w:t>
      </w:r>
      <w:r>
        <w:rPr>
          <w:rFonts w:ascii="Times New Roman;serif" w:hAnsi="Times New Roman;serif"/>
          <w:b w:val="false"/>
          <w:color w:val="000000"/>
          <w:sz w:val="20"/>
        </w:rPr>
        <w:t>General surgery procedures in the U.S. grew approximately 18% in 2025, compared to approximately 19% in 2024, most notably cholecystectomy, hernia repair, appendectomy, and colorectal procedures. The number of U.S. da Vinci bariatric procedures performed declined in the high-single digits in 2025 compared to 2024. Cholecystectomy, inguinal and ventral hernia repair, and appendectomy procedures contributed the most incremental procedures in 2025. Cholecystectomy, inguinal and ventral hernia repair, and colorectal procedures contributed the most incremental procedures in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the already very high level of laparoscopic techniques used in cholecystectomy procedures, it remains unclear to what extent robotic-assisted surgery using da Vinci may continue to be adopted.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growth in hernia repair procedures using da Vinci reflects improved clinical outcomes within certain patient populations, as well as potential cost benefits relative to certain alternative treatments. We believe that hernia repair procedures represent a significant opportunity with the potential to drive growth in future periods. However, given the differences in surgical complexity associated with the treatment of various hernia patient populations and varying surgeon opinions regarding optimal surgical technique, it is difficult to estimate the timing of and to what extent hernia repair procedure volume will grow in the future. We expect a large portion of hernia repairs will continue to be performed via different modalities of surgery.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Growth in appendectomy procedures reflects greater access to acute and after-hours care. We believe that our stapling instruments may minimize complications and reduce operative times in emergent and after-hours settings. Similar to cholecystectomy procedures, there is currently a high level of laparoscopic techniques used in appendectomy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da Vinci for colorectal procedures, which includes several underlying procedures, such as low anterior resections for rectal cancers and certain colon procedures for benign and cancerous conditions, has been ongoing for several years and is supported by certain technologies, such as our da Vinci energy and da Vinci stapler products as well as our Integrated Table Motion product.</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U.S. Gynecology</w:t>
      </w:r>
      <w:r>
        <w:rPr>
          <w:rFonts w:ascii="Times New Roman;serif" w:hAnsi="Times New Roman;serif"/>
          <w:b w:val="false"/>
          <w:color w:val="000000"/>
          <w:sz w:val="20"/>
        </w:rPr>
        <w:t>.  Gynecology procedures in the U.S. grew approximately 11% in 2025, compared to approximately 8% in 2024. Benign hysterectomy procedures contributed the most incremental procedures in 2025 and 2024. The growth in benign hysterectomy procedures has been largely driven by use of our systems by new da Vinci surgeons.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pPr>
      <w:r>
        <w:rPr>
          <w:rFonts w:ascii="Times New Roman;serif" w:hAnsi="Times New Roman;serif"/>
          <w:b w:val="false"/>
          <w:i/>
          <w:color w:val="000000"/>
          <w:sz w:val="20"/>
        </w:rPr>
        <w:t>OUS Procedures.</w:t>
      </w:r>
      <w:r>
        <w:rPr>
          <w:color w:val="000000"/>
        </w:rPr>
        <w:t xml:space="preserve"> </w:t>
      </w:r>
      <w:r>
        <w:rPr>
          <w:rFonts w:ascii="Times New Roman;serif" w:hAnsi="Times New Roman;serif"/>
          <w:b w:val="false"/>
          <w:color w:val="000000"/>
          <w:sz w:val="20"/>
        </w:rPr>
        <w:t>OUS da Vinci procedures grew approximately 23% in 2025, compared to approximately 23% in 2024. In OUS markets, robotic-assisted procedures are at varying states of adoption in different areas of the world with cancer procedures outpacing benign procedures. We saw strong procedure growth in South Korea and India during 2025. We believe that growth in these global markets is being driven by increased acceptance among surgeons and health systems, supported by expanded global evidence validating the clinical and economic value of da Vinci procedures as well as increased surgeon training. In South Korea, the doctor strikes that began in the first quarter of 2024 have ended; we saw a recovery in the number of procedures performed in 2025, and the growth rate in South Korea exceeded the overall OUS procedure growth rate.</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OUS General Surgery.</w:t>
      </w:r>
      <w:r>
        <w:rPr>
          <w:color w:val="000000"/>
        </w:rPr>
        <w:t xml:space="preserve">  </w:t>
      </w:r>
      <w:r>
        <w:rPr>
          <w:rFonts w:ascii="Times New Roman;serif" w:hAnsi="Times New Roman;serif"/>
          <w:b w:val="false"/>
          <w:color w:val="000000"/>
          <w:sz w:val="20"/>
        </w:rPr>
        <w:t>OUS general surgery procedures grew approximately 31% in 2025, compared to approximately 35% in 2024, most notably colorectal and hernia repair procedures. Colorectal procedures contributed the most incremental procedures in 2025 and 2024, aided by improved clinical outcomes relative to open and laparoscopic techniques within certain patient populations, along with enabling technologies, such as our da Vinci energy and da Vinci stapler products as well as our Integrated Table Motion product. The growth in hernia repair procedures has largely been driven by increased use of our systems by new da Vinci surgeons.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OUS Urology.</w:t>
      </w:r>
      <w:r>
        <w:rPr>
          <w:color w:val="000000"/>
        </w:rPr>
        <w:t xml:space="preserve"> </w:t>
      </w:r>
      <w:r>
        <w:rPr>
          <w:rFonts w:ascii="Times New Roman;serif" w:hAnsi="Times New Roman;serif"/>
          <w:b w:val="false"/>
          <w:color w:val="000000"/>
          <w:sz w:val="20"/>
        </w:rPr>
        <w:t>OUS urology procedures have been a consistent contributor to our overall procedure growth. OUS urology procedures grew approximately 16% in 2025, compared to approximately 14% in 2024, most notably prostatectomy and partial nephrectomy procedures. In the U.S., da Vinci is the standard of care for the surgical treatment of prostate cancer, and we believe that the growth is largely aligned with surgical volumes of prostate cancer. In OUS markets, prostatectomy is at varying states of adoption in different areas of the world but is the largest overall da Vinci procedure. In 2025, we saw consistent growth in OUS prostatectomy procedures compared to 2024.</w:t>
      </w:r>
    </w:p>
    <w:p>
      <w:pPr>
        <w:pStyle w:val="TextBody"/>
        <w:bidi w:val="0"/>
        <w:spacing w:lineRule="auto" w:line="288" w:before="0" w:after="120"/>
        <w:ind w:left="0" w:right="0" w:firstLine="360"/>
        <w:jc w:val="both"/>
        <w:rPr/>
      </w:pPr>
      <w:r>
        <w:rPr>
          <w:rFonts w:ascii="Times New Roman;serif" w:hAnsi="Times New Roman;serif"/>
          <w:b w:val="false"/>
          <w:color w:val="000000"/>
          <w:sz w:val="20"/>
        </w:rPr>
        <w:t>Kidney cancer procedures have also been a strong contributor to our recent global urology procedure growth. Clinical publications have demonstrated that the use of a</w:t>
      </w:r>
      <w:r>
        <w:rPr>
          <w:color w:val="000000"/>
        </w:rPr>
        <w:t xml:space="preserve"> </w:t>
      </w:r>
      <w:r>
        <w:rPr>
          <w:rFonts w:ascii="Times New Roman;serif" w:hAnsi="Times New Roman;serif"/>
          <w:b w:val="false"/>
          <w:color w:val="000000"/>
          <w:sz w:val="20"/>
        </w:rPr>
        <w:t>da Vinci surgical system increases the likelihood that a patient will receive nephron sparing surgery through a partial nephrectomy, which is typically the surgical society guideline recommended therapy.</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OUS Gynecology.</w:t>
      </w:r>
      <w:r>
        <w:rPr>
          <w:color w:val="000000"/>
        </w:rPr>
        <w:t xml:space="preserve"> </w:t>
      </w:r>
      <w:r>
        <w:rPr>
          <w:rFonts w:ascii="Times New Roman;serif" w:hAnsi="Times New Roman;serif"/>
          <w:b w:val="false"/>
          <w:color w:val="000000"/>
          <w:sz w:val="20"/>
        </w:rPr>
        <w:t>OUS gynecology procedures grew approximately 28% in 2025, compared to approximately 29% in 2024, most notably hysterectomy procedures. The growth in hysterectomy procedures has been largely driven by increased use of our systems by new da Vinci surgeons.</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Ion Procedures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adoption of robotic-assisted bronchoscopy using the Ion endoluminal system has the potential to grow if it can offer greater patient value than non-Ion alternatives and competitive total economics for healthcare providers.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approximately 144,100 biopsy procedures were performed with Ion systems, compared to approximately 95,500 in 2024 and approximately 53,800 in 2023. The increase in our overall procedure volume in 2025 reflects a larger installed base of approximately 995 systems, an increase of 24% compared to the installed base of approximately 805 systems as of 2024. Currently, the vast majority of Ion biopsy procedures are performed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System Demand</w:t>
      </w:r>
    </w:p>
    <w:p>
      <w:pPr>
        <w:pStyle w:val="TextBody"/>
        <w:bidi w:val="0"/>
        <w:spacing w:lineRule="auto" w:line="288" w:before="0" w:after="120"/>
        <w:ind w:left="0" w:right="0" w:firstLine="360"/>
        <w:jc w:val="both"/>
        <w:rPr/>
      </w:pPr>
      <w:r>
        <w:rPr>
          <w:rFonts w:ascii="Times New Roman;serif" w:hAnsi="Times New Roman;serif"/>
          <w:b w:val="false"/>
          <w:color w:val="000000"/>
          <w:sz w:val="20"/>
        </w:rPr>
        <w:t>System placements are driven by procedure growth in most geographic markets. In some markets, system placements are constrained by regulation. In geographies where da Vinci</w:t>
      </w:r>
      <w:r>
        <w:rPr>
          <w:color w:val="000000"/>
        </w:rPr>
        <w:t xml:space="preserve"> </w:t>
      </w:r>
      <w:r>
        <w:rPr>
          <w:rFonts w:ascii="Times New Roman;serif" w:hAnsi="Times New Roman;serif"/>
          <w:b w:val="false"/>
          <w:color w:val="000000"/>
          <w:sz w:val="20"/>
        </w:rPr>
        <w:t>procedure</w:t>
      </w:r>
      <w:r>
        <w:rPr>
          <w:color w:val="000000"/>
        </w:rPr>
        <w:t xml:space="preserve"> </w:t>
      </w:r>
      <w:r>
        <w:rPr>
          <w:rFonts w:ascii="Times New Roman;serif" w:hAnsi="Times New Roman;serif"/>
          <w:b w:val="false"/>
          <w:color w:val="000000"/>
          <w:sz w:val="20"/>
        </w:rPr>
        <w:t xml:space="preserve">adoption is in an early stage or system placements are constrained by regulation, system sales will precede procedure growth.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placements during the periods presented (amounts shown in ones):</w:t>
      </w:r>
    </w:p>
    <w:tbl>
      <w:tblPr>
        <w:tblW w:w="7728" w:type="dxa"/>
        <w:jc w:val="left"/>
        <w:tblInd w:w="0" w:type="dxa"/>
        <w:tblLayout w:type="fixed"/>
        <w:tblCellMar>
          <w:top w:w="28" w:type="dxa"/>
          <w:left w:w="28" w:type="dxa"/>
          <w:bottom w:w="28" w:type="dxa"/>
          <w:right w:w="28" w:type="dxa"/>
        </w:tblCellMar>
      </w:tblPr>
      <w:tblGrid>
        <w:gridCol w:w="1633"/>
        <w:gridCol w:w="1437"/>
        <w:gridCol w:w="1445"/>
        <w:gridCol w:w="308"/>
        <w:gridCol w:w="308"/>
        <w:gridCol w:w="156"/>
        <w:gridCol w:w="140"/>
        <w:gridCol w:w="140"/>
        <w:gridCol w:w="140"/>
        <w:gridCol w:w="308"/>
        <w:gridCol w:w="308"/>
        <w:gridCol w:w="156"/>
        <w:gridCol w:w="140"/>
        <w:gridCol w:w="140"/>
        <w:gridCol w:w="140"/>
        <w:gridCol w:w="308"/>
        <w:gridCol w:w="308"/>
        <w:gridCol w:w="213"/>
      </w:tblGrid>
      <w:tr>
        <w:trPr/>
        <w:tc>
          <w:tcPr>
            <w:tcW w:w="16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Da Vinci Surgical System Placements by Region</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unit placements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 unit placements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unit placements </w:t>
            </w:r>
            <w:r>
              <w:rPr>
                <w:rFonts w:ascii="Times New Roman;serif" w:hAnsi="Times New Roman;serif"/>
                <w:b w:val="false"/>
                <w:color w:val="000000"/>
                <w:sz w:val="13"/>
              </w:rPr>
              <w:t>(1)</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Includes the following number of units involving trade-ins: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Ion System Placements by Region</w:t>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unit placements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 unit placements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unit placements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451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1,721 da Vinci surgical systems were placed compared to 1,526 systems during 2024. By geography, 987 systems were placed in the U.S., 342 in Europe, 269 in Asia, and 123 in other markets during 2025, compared to 800 systems placed in the U.S., 309 in Europe, 321 in Asia, and 96 in other markets during 2024. The increase in total units placed during 2025 compared to 2024, reflected incremental demand for our next-generation da Vinci 5 surgical system, an increase in trade-ins of our fourth-generation da Vinci surgical systems, and continued demand for additional capacity by our customers as a result of procedure growth, partially offset by a smaller number of third-generation da Vinci surgical systems available for trade-in. The 2025 da Vinci surgical system placements included 870 da Vinci 5 surgical systems, compared with 362 in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 da Vinci surgical system installed base of approximately 11,106 systems compared to approximately 9,902 systems as of December 31, 2024. By geography, 6,364 systems were in the U.S., 2,168 in Europe, 1,993 in Asia, and 581 in the rest of the world. The incremental system installed base reflects continued procedure growth and further customer validation that robotic-assisted surgery addresses their Quintuple Aim objectives.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195 Ion systems were placed compared to 271 systems during 2024. By geography, 169 systems were placed in the U.S., 16 in Europe, 7 in Asia, and 3 in other markets during 2025, compared to 253 systems placed in the U.S., 14 in Europe, and 4 in Asia during 2024. In the U.S., where we estimate that the Ion penetration of lung biopsies is approaching the halfway point of all lung biopsies performed, our customers’ focus has begun to shift from increasing capacity to increasing utilization of their existing systems. As of December 31, 2025, we had an Ion system installed base of approximately 995 systems, compared to an installed base of approximately 805 systems as of December 31,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see some customers challenged by staffing constraints, lower public funding of healthcare in certain markets (particularly in Europe and Japan), and other financial pressures. As a result, we expect our customers to continue to be cautious in their overall capital spending. In addition, system demand in China has been affected by increasing competition from domestic robotic-assisted surgical system manufacturers as well as a broader central government focus on systematic governance. Targeting the healthcare sector, this campaign was initially launched by the Chinese government in July 2023 and has resulted in heightened scrutiny by medical institutions with respect to initiating tenders, with some tenders being canceled or delayed without a timeline. In 2025, the effects of this campaign, combined with the competitive dynamics in China and various measures related to industrial policy, contributed to fewer systems being placed in China than we anticipated. Currently, the extent and impact of this campaign and the competitive dynamics in China on our business remains uncertain.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that future placements of da Vinci surgical systems will be impacted by a number of factors: supply chain risks; economic and geopolitical factors; inflationary pressures; high interest rates; hospital staffing constraints; procedure growth rates; evolving system utilization and point-of-care dynamics; capital replacement trends, including a declining number of older generation systems available for trade-in transactions; additional reimbursements in various global markets, such as in Japan; the timing around governmental tenders and authorizations, as well as governmental actions impacting the tender process, such as the governance campaign in China; hospitals’ response to the evolving healthcare environment; the timing of when we receive regulatory clearance in our other OUS markets for our da Vinci 5, da Vinci X, da Vinci Xi, and da Vinci SP surgical systems and related instruments; and the market response.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Demand may also be impacted by the competition we currently face, or expect to face, from companies offering products for open or MIS surgeries, companies providing other therapeutic approaches for target clinical conditions, and companies developing diagnostic solutions that could serve as alternatives to current or planned Intuitive offerings. Companies that have introduced products in the field of robotic-assisted medical procedures, or have made explicit statements about their efforts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enter the field, include, but are not limited to, the following: Beijing Surgerii Robotics Company Limited; CMR Surgical Ltd.; Distalmotion SA; Harbin Sizhe Rui Intelligent Medical Equipment Co., Ltd.; Johnson &amp; Johnson; Karl Storz SE &amp; Co. KG; Medicaroid Corporation; Medtronic plc; meerecompany Inc.; Noah Medical Corporation; Shandong Weigao Group Medical Polymer Company Ltd.; Shanghai Microport Medbot (Group) Co., Ltd.; Shenzhen Edge Medical Co., Ltd.; and SS Innovations International, Inc.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of the above factors will also impact future demand for our Ion endoluminal system, as we extend our commercial offering into diagnostics, along with additional factors associated with a new product introduction, including, but not limited to, our ability to optimize manufacturing and our supply chain, competition, clinical data to demonstrate value, and customer acceptance.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Distribution Channels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sell our products and services through direct sales organizations in the U.S., Europe (excluding Italy, Spain, Portugal, Greece, and Eastern European countries), China (through our majority-owned joint ventures, Intuitive Surgical-Fosun Medical Technology (Shanghai) Co., Ltd. and Intuitive Surgical-Fosun (HongKong) Co., Ltd. (collectively, the “Joint Venture”), with Fosun Pharma), Japan, South Korea, India, Taiwan, and Canada. In the U.S. (for some government customers), China, and Japan, we also utilize certain distributors in addition to our direct sales organizations. In the remainder of our OUS markets, we provide our products for sale through distributors.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 than half of the da Vinci procedures performed are for benign conditions, most notably hernia repairs, hysterectomies, and cholecystectomies. These benign procedures and other short-term elective procedures tend to be more seasonal than cancer operations and surgeries for other life-threatening conditions. Seasonality in the U.S. for procedures for benign conditions typically results in higher fourth quarter procedure volume when more patients have met annual deductibles and lower first quarter procedure volume when deductibles are reset. Seasonality outside of the U.S. varies and is more pronounced around local holidays and vacation periods, which have lower procedure volume.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 placements also vary due to seasonality, largely aligned with hospital budgeting cycles. On an annual basis, we typically place a higher proportion of systems in the fourth quarter and a lower proportion in the first quarter as many customer budgets are reset.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Intuitive System Leasing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Since 2013, we have entered into sales-type and fixed-payment operating lease arrangements directly with certain qualified customers as a way to offer customers flexibility in how they acquire systems and expand their robotic-assisted programs while leveraging our balance sheet. These leases generally have commercially competitive terms as compared to other third-party entities that offer equipment leasing. We also enter into usage-based operating lease arrangements with qualified customers that have committed da Vinci programs where we charge for the system and service as procedures are performed, offering greater predictability in costs for customers. We believe that all of these alternative financing structures have been effective and well-received, and we are willing to expand the proportion of any of these structures based on customer needs and demand.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include systems placed under fixed-payment and usage-based operating lease arrangements, as well as sales-type lease arrangements, in our system placement and installed base disclosures. We exclude operating lease-related revenue, including usage-based revenue, and Ion system revenue from our da Vinci surgical system average selling price (“ASP”) computations.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system placements under leasing arrangements for the periods presented (amounts in ones):</w:t>
      </w:r>
    </w:p>
    <w:tbl>
      <w:tblPr>
        <w:tblW w:w="9625" w:type="dxa"/>
        <w:jc w:val="left"/>
        <w:tblInd w:w="0" w:type="dxa"/>
        <w:tblLayout w:type="fixed"/>
        <w:tblCellMar>
          <w:top w:w="28" w:type="dxa"/>
          <w:left w:w="28" w:type="dxa"/>
          <w:bottom w:w="28" w:type="dxa"/>
          <w:right w:w="28" w:type="dxa"/>
        </w:tblCellMar>
      </w:tblPr>
      <w:tblGrid>
        <w:gridCol w:w="2467"/>
        <w:gridCol w:w="2166"/>
        <w:gridCol w:w="2177"/>
        <w:gridCol w:w="233"/>
        <w:gridCol w:w="233"/>
        <w:gridCol w:w="156"/>
        <w:gridCol w:w="148"/>
        <w:gridCol w:w="148"/>
        <w:gridCol w:w="150"/>
        <w:gridCol w:w="233"/>
        <w:gridCol w:w="233"/>
        <w:gridCol w:w="156"/>
        <w:gridCol w:w="148"/>
        <w:gridCol w:w="148"/>
        <w:gridCol w:w="150"/>
        <w:gridCol w:w="233"/>
        <w:gridCol w:w="233"/>
        <w:gridCol w:w="213"/>
      </w:tblGrid>
      <w:tr>
        <w:trPr/>
        <w:tc>
          <w:tcPr>
            <w:tcW w:w="2467"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Da Vinci Surgical System Placements Under Leasing Arrangements</w:t>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placements under operating lease arrangements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of Total da Vinci surgical system placements</w:t>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51%</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51%</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48%</w:t>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placements under leasing arrangements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Ion System Placements Under Leasing Arrangements</w:t>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placements under operating lease arrangements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of Total Ion system placements</w:t>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49%</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56%</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55%</w:t>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Sales-type lease arrangements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placements under leasing arrangements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Variable lease revenue recognized from usage-based operating lease arrangements has been included in our operating lease metrics herein. Operating lease revenue has grown at a faster rate than overall systems revenue and was $874 million, $654 million, and $501 million in 2025, 2024, and 2023, respectively, of which $531 million, $338 million, and $217 million, respectively, was variable lease revenue related to our usage-based operating lease arrangements.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for systems sold or placed under a sales-type lease arrangement is recognized upfront whereas revenue for fixed-payment operating lease arrangements is recognized on a straight-line basis over time. Therefore, in a period when the number of operating lease placements increases as a proportion of total system placements, total systems revenue is reduced, which can create volatility in the systems revenue recognized in any given period. We generally set fixed-payment and usage-based operating lease arrangements’ pricing at a modest premium relative to purchased systems reflecting the time value of money and, in the case of usage-based operating lease arrangements, the risk that system utilization may fall short of anticipated levels.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for usage-based operating lease arrangements is recognized as the system is used to perform procedures. Variable usage-based arrangements create better matching of reimbursements and cost for our customers. They also reduce our customers’ overall risk and need for capital outlay. However, because the number of procedures performed in any given period can vary significantly for many reasons, including but not limited to healthcare emergencies, alternative treatment options, and patient preferences, revenue recognized from these arrangements can be highly volatile.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generally do not have the right to exit or terminate a fixed-payment lease without incurring a penalty. Generally, lease transactions generate similar gross profit margins as our sale transactions. However, because of the variability in revenue recognized for usage-based lease arrangements, including our customers’ ability to exit or cancel those arrangements prior to the end of the lease term, there is no guarantee that we will recuperate the cost of the leased system, which, in turn, could adversely impact our gross profit margins if utilization of those systems are different than our expectations.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da Vinci and Ion systems installed base under operating leasing arrangements as of the periods presented (amounts in ones):</w:t>
      </w:r>
    </w:p>
    <w:tbl>
      <w:tblPr>
        <w:tblW w:w="10205" w:type="dxa"/>
        <w:jc w:val="left"/>
        <w:tblInd w:w="0" w:type="dxa"/>
        <w:tblLayout w:type="fixed"/>
        <w:tblCellMar>
          <w:top w:w="28" w:type="dxa"/>
          <w:left w:w="28" w:type="dxa"/>
          <w:bottom w:w="28" w:type="dxa"/>
          <w:right w:w="28" w:type="dxa"/>
        </w:tblCellMar>
      </w:tblPr>
      <w:tblGrid>
        <w:gridCol w:w="2516"/>
        <w:gridCol w:w="2206"/>
        <w:gridCol w:w="2217"/>
        <w:gridCol w:w="308"/>
        <w:gridCol w:w="308"/>
        <w:gridCol w:w="156"/>
        <w:gridCol w:w="148"/>
        <w:gridCol w:w="148"/>
        <w:gridCol w:w="150"/>
        <w:gridCol w:w="308"/>
        <w:gridCol w:w="308"/>
        <w:gridCol w:w="156"/>
        <w:gridCol w:w="148"/>
        <w:gridCol w:w="148"/>
        <w:gridCol w:w="150"/>
        <w:gridCol w:w="308"/>
        <w:gridCol w:w="308"/>
        <w:gridCol w:w="214"/>
      </w:tblGrid>
      <w:tr>
        <w:trPr/>
        <w:tc>
          <w:tcPr>
            <w:tcW w:w="251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6"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6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Da Vinci Surgical System Installed Base under Operating Leasing Arrangements</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da Vinci surgical system installed base under operating lease arrangements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Ion System Installed Base under Operating Leasing Arrangements</w:t>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Fixed-payment operating lease arrangements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Usage-based operating lease arrangements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Ion system installed base under operating lease arrangements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r>
        <w:trPr/>
        <w:tc>
          <w:tcPr>
            <w:tcW w:w="6939"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exposure to the credit risks relating to our lease financing arrangements may increase if our customers are adversely affected by economic pressures or uncertainty, changes in healthcare laws, coverage and reimbursement, or other customer-specific factors. As a result of these macroeconomic factors impacting our customers, we may be exposed to defaults under our lease financing arrangements. Moreover, usage-based operating lease arrangements generally contain no minimum payments; therefore, customers may exit such arrangements without paying a financial penalty to us.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some operating lease arrangements, our customers are provided with the right to purchase the leased system at certain points during and/or at the end of the lease term. Revenue generated from customer purchases of systems under operating lease arrangements (“Lease Buyouts”) was $130 million, $109 million, and $74 million in 2025, 2024, and 2023, respectively. We expect that revenue recognized from customer exercises of buyout options will fluctuate based on the timing of when, and if, customers choose to exercise such buyout options.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Systems revenue is also affected by the proportion of system placements under operating lease arrangements, which can fluctuate period to period depending on customer preference, recurring fixed-payment and usage-based operating lease revenue, Lease Buyouts, product mix, ASPs, trade-in activities, customer mix, and specified-price trade-in rights. We generally do not provide specified-price trade-in rights or upgrade rights at the time of a system purchase; however, in conjunction with the rollout of our next-generation da Vinci 5 surgical system, there may be limited instances in which certain arrangements include specified-price trade-in rights. For trade-in activities involving operating lease upgrades, depending on the timing and terms of the upgrade transaction, the amount of revenue generated on the initial and new lease arrangements may not, in the aggregate, generate the same amount of revenue that a traditional sale and trade-in transaction would. Systems revenue increased 26% to $2.47 billion in 2025. Systems revenue increased 17% to $1.97 billion in 2024. Systems revenue remained flat at $1.68 billion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Procedure/Product Mix</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da Vinci surgical systems are generally used for soft tissue surgery for areas of the body between the pelvis and the neck, primarily in general, gynecologic, urologic, cardiothoracic, and head and neck surgical procedures. Within these categories, procedures range in complexity from cancer and other highly complex procedures to less complex procedures for benign conditions. Cancer and other highly complex procedures tend to be reimbursed at higher rates than less complex procedures for benign conditions. Thus, hospitals are more sensitive to the costs associated with treating less complex, benign conditions. Our strategy is to provide hospitals with attractive clinical and economical solutions across the spectrum of procedure complexity. Our fully featured da Vinci 5 and da Vinci Xi surgical systems with advanced instruments (including da Vinci energy and da Vinci stapler products) and our Integrated Table Motion product target the more complex procedure segment. Our da Vinci X surgical system is targeted toward price-sensitive geographic markets and procedures. Our da Vinci SP surgical system complements the da Vinci 5, da Vinci X, and da Vinci Xi surgical systems by enabling surgeons to access narrow workspaces.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up-front revenue from the placement of da Vinci surgical systems through sales or sales-type lease arrangements. Recurring revenue is recognized over time from the placement of da Vinci surgical systems under fixed-payment or usage-based operating lease arrangements, as well as from service arrangements. Recurring revenue is also recognized up-front from the sale of instruments and accessories.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 generally sells for between $0.7 million and $3.1 million (generally inclusive of one year of service), depending on the model, configuration, and geography, and represents a significant capital equipment investment for our customers when purchased. Our instruments and accessories have limited lives and will either expire or wear out as they are used in surgery, at which point they need to be replaced. We generally earn between $900 and $3,700 of instruments and accessories revenue per surgical procedure performed, depending on the type and complexity of the specific procedures performed and the number and type of instruments used. We typically enter into service contracts at the time systems are sold or leased at an annual fee between $95,000 and $225,000, depending on the configuration of the underlying system and the composition of the services offered under the contract. Our system sale arrangements generally include a five-year period of service, with the first year of service generally included in the selling price of the system. These service contracts have generally been renewed at the end of the initial contractual service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revenue from our Ion endoluminal system in a business model consistent with the da Vinci surgical system model described above. We generate up-front revenue from the placement of Ion systems through sales or sales-type lease arrangements and recurring revenue over time through fixed-payment or usage-based operating lease arrangements. We also earn recurring revenue from the sales of instruments, accessories, and services. The Ion endoluminal system generally sells for between $500,000 and $815,000 (generally inclusive of one year of service). Our instruments and accessories have limited lives and will either expire or wear out as they are used in procedures, at which point they need to be replaced. We typically enter into service contracts at the time systems are sold or leased at an annual fee between $55,000 and $70,000.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as part of our ecosystem of products and services, we provide a portfolio of learning offerings and digital solutions. We do not currently generate material revenue from these offerings.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revenue for the periods presented (amounts in millions):</w:t>
      </w:r>
    </w:p>
    <w:tbl>
      <w:tblPr>
        <w:tblW w:w="6416" w:type="dxa"/>
        <w:jc w:val="left"/>
        <w:tblInd w:w="0" w:type="dxa"/>
        <w:tblLayout w:type="fixed"/>
        <w:tblCellMar>
          <w:top w:w="28" w:type="dxa"/>
          <w:left w:w="28" w:type="dxa"/>
          <w:bottom w:w="28" w:type="dxa"/>
          <w:right w:w="28" w:type="dxa"/>
        </w:tblCellMar>
      </w:tblPr>
      <w:tblGrid>
        <w:gridCol w:w="850"/>
        <w:gridCol w:w="749"/>
        <w:gridCol w:w="755"/>
        <w:gridCol w:w="211"/>
        <w:gridCol w:w="871"/>
        <w:gridCol w:w="109"/>
        <w:gridCol w:w="109"/>
        <w:gridCol w:w="109"/>
        <w:gridCol w:w="109"/>
        <w:gridCol w:w="211"/>
        <w:gridCol w:w="766"/>
        <w:gridCol w:w="109"/>
        <w:gridCol w:w="109"/>
        <w:gridCol w:w="109"/>
        <w:gridCol w:w="109"/>
        <w:gridCol w:w="211"/>
        <w:gridCol w:w="766"/>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 revenue</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4,688.6 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 — U.S.</w:t>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66%</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 — OUS</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w:t>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 increased in 2025 compared to 2024, primarily driven by 19% higher instruments and accessories revenue, 26% higher systems revenue, and 20% higher service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sell our products and services in local currencies where we have direct distribution channels. Revenue denominated in foreign currencies as a percentage of total revenue was approximately 24%, 24%, and 25% in 2025, 2024, and 2023, respectively. Fluctuations in foreign currency exchange rates had a favorable impact on OUS total revenue of $31 million for 2025 and an unfavorable impact on OUS total revenue of $34 million for 2024. The impact of foreign currency exchange rate fluctuations was calculated by comparing the USD value of foreign-currency-denominated transactions translated at exchange rates in effect during the period in which each order was recorded to the USD value of those same transactions translated at exchange rates in effect during the comparable prior-year period, net of the impacts from foreign currency hedges.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U.S. revenue has historically accounted for the large majority of total revenue due to U.S. patients’ ability to choose their provider and method of treatment, reimbursement structures supportive of innovation and MIS, and our initial investments focused on U.S. infrastructure. We have been investing in our business in OUS markets, and our OUS procedures have grown faster in proportion to U.S. procedures. We expect that our OUS procedures and revenue will make up a greater portion of our business in the long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Product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Instruments and accessories revenue increased by 19% to $6.02 billion for 2025, compared to $5.08 billion for 2024. The increase in instruments and accessories revenue was primarily driven by approximately 18% higher da Vinci procedure volume,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approximately 51% higher Ion procedure volume, and incremental growth of SP procedures, partially offset by an unfavorable procedure mix. The 2025 U.S. da Vinci procedure growth was approximately 15%, driven primarily by strong growth in general surgery procedures, most notably cholecystectomy, hernia repair, appendectomy, and colorectal procedures, and gynecologic procedures. The number of U.S. da Vinci bariatric procedures performed declined in the high-single digits in 2025 compared to 2024. The 2025 OUS da Vinci procedure growth was approximately 23%, driven by growth in general surgery procedures, most notably colorectal and hernia repair procedures; urologic procedures, most notably prostatectomy and partial nephrectomy procedures; and gynecologic procedures. Geographically, the 2025 OUS da Vinci procedure growth was driven by several markets with particular strength in South Korea and India.</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Systems revenue increased by 26% to $2.47 billion for 2025, compared to $1.97 billion for 2024. The higher system revenue for the year ended December 31, 2025, was primarily driven by an increase in da Vinci surgical system placements, including a decrease in the proportion of da Vinci surgical system placements under operating leases, higher operating lease revenue, and higher ASPs.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Operating lease revenue, including the contribution from Ion systems, was $874 million for 2025, of which $531 million was variable lease revenue related to usage-based arrangements, compared to $654 million for 2024, of which $338 million was variable lease revenue related to usage-based arrangements. Revenue from Lease Buyouts was $130 million</w:t>
      </w:r>
      <w:r>
        <w:rPr>
          <w:color w:val="000000"/>
          <w:shd w:fill="FFFFFF" w:val="clear"/>
        </w:rPr>
        <w:t xml:space="preserve"> </w:t>
      </w:r>
      <w:r>
        <w:rPr>
          <w:rFonts w:ascii="Times New Roman;serif" w:hAnsi="Times New Roman;serif"/>
          <w:b w:val="false"/>
          <w:color w:val="000000"/>
          <w:sz w:val="20"/>
          <w:shd w:fill="FFFFFF" w:val="clear"/>
        </w:rPr>
        <w:t>fo</w:t>
      </w:r>
      <w:r>
        <w:rPr>
          <w:rFonts w:ascii="Times New Roman;serif" w:hAnsi="Times New Roman;serif"/>
          <w:b w:val="false"/>
          <w:color w:val="000000"/>
          <w:sz w:val="20"/>
        </w:rPr>
        <w:t xml:space="preserve">r 2025, compared </w:t>
      </w:r>
      <w:r>
        <w:rPr>
          <w:rFonts w:ascii="Times New Roman;serif" w:hAnsi="Times New Roman;serif"/>
          <w:b w:val="false"/>
          <w:color w:val="000000"/>
          <w:sz w:val="20"/>
          <w:shd w:fill="FFFFFF" w:val="clear"/>
        </w:rPr>
        <w:t>to $109 million f</w:t>
      </w:r>
      <w:r>
        <w:rPr>
          <w:rFonts w:ascii="Times New Roman;serif" w:hAnsi="Times New Roman;serif"/>
          <w:b w:val="false"/>
          <w:color w:val="000000"/>
          <w:sz w:val="20"/>
        </w:rPr>
        <w:t>or 2024. We expect revenue from Lease Buyouts to fluctuate period to period depending on the timing of when, and if, customers choose to exercise buyout options embedded in their leases.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da Vinci surgical system ASP, excluding systems placed under fixed-payment or usage-based operating lease arrangements, Ion systems, and the impact of specified-price trade-in rights, was approximately $1.60 million for 2025, compared to approximately $1.50 million for 2024. The higher ASP for 2025, was largely driven by favorable product mix, including from da Vinci 5 sales, partially offset by higher pricing discounts and more trade-ins. ASP fluctuates from period to period based on geographic and product mix, product pricing, systems placed involving trade-ins, and changes in foreign exchange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Service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revenue increased by 20% to 1.57 billion for 2025, compared to $1.31 billion for 2024. The increase in 2025 was primarily driven by a larger installed base of systems producing service revenue and favorable product mix, particularly from da Vinci 5 surgical system placements.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Recurring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 represents the revenue recognized from instruments and accessories, service, and operating lease arrangements. Recurring revenue is an operating measure that we use to assess the strength of our installed base, system utilization, and procedure adoption.</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Recurring revenue during the periods presented was as follows:</w:t>
      </w:r>
    </w:p>
    <w:tbl>
      <w:tblPr>
        <w:tblW w:w="7001" w:type="dxa"/>
        <w:jc w:val="left"/>
        <w:tblInd w:w="0" w:type="dxa"/>
        <w:tblLayout w:type="fixed"/>
        <w:tblCellMar>
          <w:top w:w="28" w:type="dxa"/>
          <w:left w:w="28" w:type="dxa"/>
          <w:bottom w:w="28" w:type="dxa"/>
          <w:right w:w="28" w:type="dxa"/>
        </w:tblCellMar>
      </w:tblPr>
      <w:tblGrid>
        <w:gridCol w:w="1102"/>
        <w:gridCol w:w="968"/>
        <w:gridCol w:w="974"/>
        <w:gridCol w:w="211"/>
        <w:gridCol w:w="766"/>
        <w:gridCol w:w="109"/>
        <w:gridCol w:w="109"/>
        <w:gridCol w:w="109"/>
        <w:gridCol w:w="109"/>
        <w:gridCol w:w="211"/>
        <w:gridCol w:w="766"/>
        <w:gridCol w:w="109"/>
        <w:gridCol w:w="109"/>
        <w:gridCol w:w="109"/>
        <w:gridCol w:w="109"/>
        <w:gridCol w:w="211"/>
        <w:gridCol w:w="76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Instruments and accessories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 of Total revenue </w:t>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83%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12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Product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product gross profit during the periods presented was as follows (dollars in millions):</w:t>
      </w:r>
    </w:p>
    <w:tbl>
      <w:tblPr>
        <w:tblW w:w="10205" w:type="dxa"/>
        <w:jc w:val="left"/>
        <w:tblInd w:w="0" w:type="dxa"/>
        <w:tblLayout w:type="fixed"/>
        <w:tblCellMar>
          <w:top w:w="28" w:type="dxa"/>
          <w:left w:w="28" w:type="dxa"/>
          <w:bottom w:w="28" w:type="dxa"/>
          <w:right w:w="28" w:type="dxa"/>
        </w:tblCellMar>
      </w:tblPr>
      <w:tblGrid>
        <w:gridCol w:w="640"/>
        <w:gridCol w:w="281"/>
        <w:gridCol w:w="28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07"/>
        <w:gridCol w:w="207"/>
        <w:gridCol w:w="517"/>
        <w:gridCol w:w="109"/>
        <w:gridCol w:w="109"/>
        <w:gridCol w:w="109"/>
        <w:gridCol w:w="211"/>
        <w:gridCol w:w="616"/>
        <w:gridCol w:w="109"/>
        <w:gridCol w:w="109"/>
        <w:gridCol w:w="109"/>
        <w:gridCol w:w="109"/>
        <w:gridCol w:w="199"/>
        <w:gridCol w:w="199"/>
        <w:gridCol w:w="581"/>
      </w:tblGrid>
      <w:tr>
        <w:trPr/>
        <w:tc>
          <w:tcPr>
            <w:tcW w:w="6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 vs 2023</w:t>
            </w:r>
          </w:p>
        </w:tc>
      </w:tr>
      <w:tr>
        <w:trPr/>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Product 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Product gross profit margin</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Product gross profit margin decreased in 2025 compared to 2024, primarily driven by new tariffs, incremental fixed overhead costs, including depreciation expense associated with expanded manufacturing capacity, and higher costs associated with our da Vinci 5 surgical system, partially offset by lower excess and obsolete inventory charges. Our capital expenditures increased in 2024, as we continued to build the infrastructure needed to scale our business and, as a result, depreciation expense increased in 2025. We expect depreciation expense to continue to increase in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new and incremental tariffs were imposed on goods imported to the U.S. We import raw materials and finished goods from sources outside of the U.S., which were subject to tariffs, including but not limited to our endoscopes, which are primarily manufactured in Germany. If the tariffs continue to be in effect in 2026 as currently implemented, we expect the associated expense to increase in 2026. The ultimate impact of tariffs will depend on various factors, including the amount, scope, timing, and nature of the tariffs.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Service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service gross profit during the periods presented was as follows (dollars in millions):</w:t>
      </w:r>
    </w:p>
    <w:tbl>
      <w:tblPr>
        <w:tblW w:w="10205" w:type="dxa"/>
        <w:jc w:val="left"/>
        <w:tblInd w:w="0" w:type="dxa"/>
        <w:tblLayout w:type="fixed"/>
        <w:tblCellMar>
          <w:top w:w="28" w:type="dxa"/>
          <w:left w:w="28" w:type="dxa"/>
          <w:bottom w:w="28" w:type="dxa"/>
          <w:right w:w="28" w:type="dxa"/>
        </w:tblCellMar>
      </w:tblPr>
      <w:tblGrid>
        <w:gridCol w:w="739"/>
        <w:gridCol w:w="427"/>
        <w:gridCol w:w="431"/>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07"/>
        <w:gridCol w:w="207"/>
        <w:gridCol w:w="517"/>
        <w:gridCol w:w="109"/>
        <w:gridCol w:w="109"/>
        <w:gridCol w:w="109"/>
        <w:gridCol w:w="213"/>
        <w:gridCol w:w="517"/>
        <w:gridCol w:w="111"/>
        <w:gridCol w:w="109"/>
        <w:gridCol w:w="109"/>
        <w:gridCol w:w="109"/>
        <w:gridCol w:w="200"/>
        <w:gridCol w:w="200"/>
        <w:gridCol w:w="580"/>
      </w:tblGrid>
      <w:tr>
        <w:trPr/>
        <w:tc>
          <w:tcPr>
            <w:tcW w:w="73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 vs 2023</w:t>
            </w:r>
          </w:p>
        </w:tc>
      </w:tr>
      <w:tr>
        <w:trPr/>
        <w:tc>
          <w:tcPr>
            <w:tcW w:w="1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Service gross profit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Service gross profit margin</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69.8%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8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gross profit margin decreased in 2025 compared to 2024, primarily driven by higher costs associated with our da Vinci 5 surgical system, an unfavorable repair mix, incremental fixed costs, including depreciation expense, and new tariffs, partially offset by lower logistics costs and lower excess and obsolete inventory charges.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costs for sales, marketing, and administrative personnel, sales and marketing activities, trade show expenses, legal expenses, regulatory fees, and general corporate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during the periods presented were as follows (dollars in millions):</w:t>
      </w:r>
    </w:p>
    <w:tbl>
      <w:tblPr>
        <w:tblW w:w="10290" w:type="dxa"/>
        <w:jc w:val="left"/>
        <w:tblInd w:w="0" w:type="dxa"/>
        <w:tblLayout w:type="fixed"/>
        <w:tblCellMar>
          <w:top w:w="28" w:type="dxa"/>
          <w:left w:w="28" w:type="dxa"/>
          <w:bottom w:w="28" w:type="dxa"/>
          <w:right w:w="28" w:type="dxa"/>
        </w:tblCellMar>
      </w:tblPr>
      <w:tblGrid>
        <w:gridCol w:w="468"/>
        <w:gridCol w:w="411"/>
        <w:gridCol w:w="412"/>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07"/>
        <w:gridCol w:w="207"/>
        <w:gridCol w:w="517"/>
        <w:gridCol w:w="109"/>
        <w:gridCol w:w="109"/>
        <w:gridCol w:w="109"/>
        <w:gridCol w:w="211"/>
        <w:gridCol w:w="616"/>
        <w:gridCol w:w="109"/>
        <w:gridCol w:w="109"/>
        <w:gridCol w:w="109"/>
        <w:gridCol w:w="109"/>
        <w:gridCol w:w="199"/>
        <w:gridCol w:w="199"/>
        <w:gridCol w:w="578"/>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 vs 2023</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Selling, general and administrative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in 2025 compared to 2024, primarily driven by higher headcount and personnel-related expenses, including share-based compensation expense and variable compensation expenses, and a higher charitable contribution to the Intuitive Foundation.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we made a charitable contribution of $70 million to the Intuitive Foundation, a not-for-profit organization whose mission is to reduce the global burden of disease and suffering through research, education, and philanthropy aimed at better outcomes for patients around the globe. In 2024, we made a charitable contribution of $45 million to the Intuitive Foundation.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Research and development expenses include costs associated with the design, development, testing, and significant enhancement of our products. Our main product development initiatives include multi-port, Ion, and SP platform investments and our digital products and services.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during the periods presented were as follows (dollars in millions):</w:t>
      </w:r>
    </w:p>
    <w:tbl>
      <w:tblPr>
        <w:tblW w:w="10205" w:type="dxa"/>
        <w:jc w:val="left"/>
        <w:tblInd w:w="0" w:type="dxa"/>
        <w:tblLayout w:type="fixed"/>
        <w:tblCellMar>
          <w:top w:w="28" w:type="dxa"/>
          <w:left w:w="28" w:type="dxa"/>
          <w:bottom w:w="28" w:type="dxa"/>
          <w:right w:w="28" w:type="dxa"/>
        </w:tblCellMar>
      </w:tblPr>
      <w:tblGrid>
        <w:gridCol w:w="491"/>
        <w:gridCol w:w="430"/>
        <w:gridCol w:w="432"/>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616"/>
        <w:gridCol w:w="109"/>
        <w:gridCol w:w="109"/>
        <w:gridCol w:w="109"/>
        <w:gridCol w:w="109"/>
        <w:gridCol w:w="207"/>
        <w:gridCol w:w="207"/>
        <w:gridCol w:w="517"/>
        <w:gridCol w:w="109"/>
        <w:gridCol w:w="109"/>
        <w:gridCol w:w="109"/>
        <w:gridCol w:w="211"/>
        <w:gridCol w:w="616"/>
        <w:gridCol w:w="109"/>
        <w:gridCol w:w="109"/>
        <w:gridCol w:w="109"/>
        <w:gridCol w:w="109"/>
        <w:gridCol w:w="199"/>
        <w:gridCol w:w="199"/>
        <w:gridCol w:w="581"/>
      </w:tblGrid>
      <w:tr>
        <w:trPr/>
        <w:tc>
          <w:tcPr>
            <w:tcW w:w="49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 vs 2023</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the following expenses: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 asset-related charges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5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in 2025 compared to 2024, primarily driven by project costs incurred to support a broader set of product development initiatives and higher headcount and personnel-related expenses, including share-based compensation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fluctuate with project timing. Based upon our broader set of product development initiatives and the stage of the underlying projects, we expect to continue to make substantial investments in research and development and anticipate that research and development expenses will continue to increase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during the periods presented was as follows (dollars in millions):</w:t>
      </w:r>
    </w:p>
    <w:tbl>
      <w:tblPr>
        <w:tblW w:w="10205" w:type="dxa"/>
        <w:jc w:val="left"/>
        <w:tblInd w:w="0" w:type="dxa"/>
        <w:tblLayout w:type="fixed"/>
        <w:tblCellMar>
          <w:top w:w="28" w:type="dxa"/>
          <w:left w:w="28" w:type="dxa"/>
          <w:bottom w:w="28" w:type="dxa"/>
          <w:right w:w="28" w:type="dxa"/>
        </w:tblCellMar>
      </w:tblPr>
      <w:tblGrid>
        <w:gridCol w:w="633"/>
        <w:gridCol w:w="556"/>
        <w:gridCol w:w="56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3"/>
        <w:gridCol w:w="517"/>
        <w:gridCol w:w="111"/>
        <w:gridCol w:w="109"/>
        <w:gridCol w:w="109"/>
        <w:gridCol w:w="109"/>
        <w:gridCol w:w="207"/>
        <w:gridCol w:w="207"/>
        <w:gridCol w:w="517"/>
        <w:gridCol w:w="109"/>
        <w:gridCol w:w="109"/>
        <w:gridCol w:w="109"/>
        <w:gridCol w:w="211"/>
        <w:gridCol w:w="616"/>
        <w:gridCol w:w="109"/>
        <w:gridCol w:w="109"/>
        <w:gridCol w:w="109"/>
        <w:gridCol w:w="109"/>
        <w:gridCol w:w="199"/>
        <w:gridCol w:w="199"/>
        <w:gridCol w:w="579"/>
      </w:tblGrid>
      <w:tr>
        <w:trPr/>
        <w:tc>
          <w:tcPr>
            <w:tcW w:w="63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 vs 2023</w:t>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 of Total revenue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17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and other income, net, increased in 2025 compared to 2024, primarily driven by higher interest income earned (due to higher average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Income Tax Expense</w:t>
      </w:r>
    </w:p>
    <w:tbl>
      <w:tblPr>
        <w:tblW w:w="10205" w:type="dxa"/>
        <w:jc w:val="left"/>
        <w:tblInd w:w="0" w:type="dxa"/>
        <w:tblLayout w:type="fixed"/>
        <w:tblCellMar>
          <w:top w:w="28" w:type="dxa"/>
          <w:left w:w="28" w:type="dxa"/>
          <w:bottom w:w="28" w:type="dxa"/>
          <w:right w:w="28" w:type="dxa"/>
        </w:tblCellMar>
      </w:tblPr>
      <w:tblGrid>
        <w:gridCol w:w="609"/>
        <w:gridCol w:w="534"/>
        <w:gridCol w:w="538"/>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3"/>
        <w:gridCol w:w="517"/>
        <w:gridCol w:w="111"/>
        <w:gridCol w:w="109"/>
        <w:gridCol w:w="109"/>
        <w:gridCol w:w="109"/>
        <w:gridCol w:w="207"/>
        <w:gridCol w:w="207"/>
        <w:gridCol w:w="517"/>
        <w:gridCol w:w="109"/>
        <w:gridCol w:w="109"/>
        <w:gridCol w:w="109"/>
        <w:gridCol w:w="211"/>
        <w:gridCol w:w="616"/>
        <w:gridCol w:w="109"/>
        <w:gridCol w:w="109"/>
        <w:gridCol w:w="109"/>
        <w:gridCol w:w="109"/>
        <w:gridCol w:w="233"/>
        <w:gridCol w:w="233"/>
        <w:gridCol w:w="580"/>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 vs 2023</w:t>
            </w:r>
          </w:p>
        </w:tc>
      </w:tr>
      <w:tr>
        <w:trPr/>
        <w:tc>
          <w:tcPr>
            <w:tcW w:w="1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Effective income tax rate</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higher effective tax rate for 2025 compared to 2024 was primarily due to lower tax rate benefits from federal research and development credits and excess tax benefits associated with employee equity plans, partially offset by lower taxes on foreign earnings.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for 2023 reflected Swiss tax benefits of $92.3 million, net of a $67.3 million valuation allowance, related to certain tax assets recorded by our Swiss entity. In addition, a one-time net benefit of $67.1 million was recorded from the re-measurement of our Swiss deferred tax assets resulting from the Swiss cantonal tax rate increase enacted in December 2023 for years after 2024 as well as a Swiss cantonal tax rate increase from the discontinuation of our 2017 Swiss tax ruling, which was deemed effective as of January 1, 2023.</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provision for income taxes for 2025 and 2024 included excess tax benefits associated with employee equity plans of $246 million and $223 million, respectively, which reduced our effective tax rate by 7.4 and 8.4 percentage points, respectively. The amount of excess tax benefits or deficiencies will fluctuate from period to period based on the price of our stock, the volume of share-based awards settled or vested, and the value assigned to employee equity awards under GAAP, which results in increased income tax expense volatility.</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OBBBA was enacted, introducing amendments to U.S. tax laws with various effective dates from 2025 to 2027. The changes introduced by OBBBA did not have a material impact on our effective tax rate for 2025.</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2021, the OECD established an inclusive framework on base erosion and profit shifting and agreed on a two-pillar solution to global taxation, focusing on global profit allocation and a 15% global minimum effective tax rate (“Pillar Two”). The OECD issued Pillar Two model rules and continues to release guidance on these rules. In January 2025, the OECD released additional guidance, which includes a limitation on certain deferred tax assets recognized after November 2021. Many countries have adopted new tax laws to align with the global minimum tax. We considered the applicable tax law changes on Pillar Two implementation in the relevant countries, and there was no material impact to our tax provision in 2025. We will continue to evaluate the impact of these tax law changes on future reporting periods.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file federal, state, and foreign income tax returns in many jurisdictions in the U.S. and OUS. Years before 2020 are considered closed for significant jurisdictions. Certain of our unrecognized tax benefits could change due to activities of various tax authorities, including evolving interpretations of existing tax laws in the jurisdictions in which we operate, potential assessment of additional tax, possible settlement of audits, or through normal expiration of various statutes of limitations, which could affect our effective tax rate in the period in which they change.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the examination of our income tax returns by the Internal Revenue Service and other tax authorities. The outcome of these audits cannot be predicted with certainty. Management regularly assesses the likelihood of adverse outcomes resulting from these examinations to determine the adequacy of our provision for income taxes. If any issues addressed in our tax audits are resolved in a manner not consistent with management’s expectations, we could be required to adjust our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Net Income Attributable to Noncontrolling Interest in Joint Venture</w:t>
      </w:r>
    </w:p>
    <w:tbl>
      <w:tblPr>
        <w:tblW w:w="10205" w:type="dxa"/>
        <w:jc w:val="left"/>
        <w:tblInd w:w="0" w:type="dxa"/>
        <w:tblLayout w:type="fixed"/>
        <w:tblCellMar>
          <w:top w:w="28" w:type="dxa"/>
          <w:left w:w="28" w:type="dxa"/>
          <w:bottom w:w="28" w:type="dxa"/>
          <w:right w:w="28" w:type="dxa"/>
        </w:tblCellMar>
      </w:tblPr>
      <w:tblGrid>
        <w:gridCol w:w="777"/>
        <w:gridCol w:w="684"/>
        <w:gridCol w:w="687"/>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44"/>
        <w:gridCol w:w="470"/>
        <w:gridCol w:w="127"/>
        <w:gridCol w:w="109"/>
        <w:gridCol w:w="109"/>
        <w:gridCol w:w="109"/>
        <w:gridCol w:w="207"/>
        <w:gridCol w:w="207"/>
        <w:gridCol w:w="517"/>
        <w:gridCol w:w="109"/>
        <w:gridCol w:w="109"/>
        <w:gridCol w:w="109"/>
        <w:gridCol w:w="239"/>
        <w:gridCol w:w="478"/>
        <w:gridCol w:w="125"/>
        <w:gridCol w:w="109"/>
        <w:gridCol w:w="109"/>
        <w:gridCol w:w="109"/>
        <w:gridCol w:w="204"/>
        <w:gridCol w:w="204"/>
        <w:gridCol w:w="580"/>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 vs 2023</w:t>
            </w:r>
          </w:p>
        </w:tc>
      </w:tr>
      <w:tr>
        <w:trPr/>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14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14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14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2148"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Joint Venture is owned 60% by us and 40% by Fosun Pharma and is located in China. In 2019, the Joint Venture began direct operations for da Vinci products and services in China. Following approval in June 2023 by China’s NMPA for a local version of our da Vinci Xi surgical system, in August 2023, our Intuitive-Fosun Pharma Joint Venture received a manufacturing license that permits the Joint Venture to manufacture our da Vinci Xi surgical system for sale to customers in China.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Sources and Uses of Cash and Cash Equivalents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source of liquidity is cash provided by our operations. Cash and cash equivalents plus short- and long-term investments increased by $0.20 billion to $9.03 billion as of December 31, 2025, from $8.83 billion as of December 31, 2024, primarily as a result of cash provided by operating activities and proceeds from stock option exercises and employee stock purchases, partially offset by cash used for repurchases of common stock, capital expenditures, and taxes paid related to net share settlements of equity awards.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requirements depend on numerous factors, including acceptance of our products, the resources we devote to developing and supporting our products, and other factors. We expect to continue to devote substantial resources to expand procedure adoption and acceptance of our products. We have made substantial investments in our commercial operations, product development activities, facilities, and intellectual property. Based on our business model, we anticipate that we will continue to be able to fund future growth through cash provided by our operations. We believe that our current cash, cash equivalents, and investment balances, together with income to be derived from our business, will be sufficient to meet our liquidity requirements for the foreseeable future. However, we may experience reduced cash flow from operations as a result of macroeconomic and geopolitical headwinds.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$1.06 billion of our cash, cash equivalents, and investments was held by foreign subsidiaries. We intend to repatriate earnings from our Swiss and Dutch subsidiaries and our joint venture in Hong Kong, as needed, since the U.S. and foreign tax implications of such repatriations are not expected to be significant. We will continue to indefinitely reinvest earnings from the rest of our foreign subsidiaries and do not expect the tax implications of repatriating these earnings to be significant.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“Item 7A. Quantitative and Qualitative Disclosures About Market Risk” for discussion on the impact of interest rate risk and market risk on our investment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left"/>
        <w:rPr>
          <w:rFonts w:ascii="Times New Roman;serif" w:hAnsi="Times New Roman;serif"/>
          <w:b/>
          <w:i/>
          <w:color w:val="000000"/>
          <w:sz w:val="20"/>
        </w:rPr>
      </w:pPr>
      <w:r>
        <w:rPr>
          <w:rFonts w:ascii="Times New Roman;serif" w:hAnsi="Times New Roman;serif"/>
          <w:b/>
          <w:i/>
          <w:color w:val="000000"/>
          <w:sz w:val="20"/>
        </w:rPr>
        <w:t>Consolidated Cash Flow Data</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 (in millions):</w:t>
      </w:r>
    </w:p>
    <w:tbl>
      <w:tblPr>
        <w:tblW w:w="9702" w:type="dxa"/>
        <w:jc w:val="left"/>
        <w:tblInd w:w="0" w:type="dxa"/>
        <w:tblLayout w:type="fixed"/>
        <w:tblCellMar>
          <w:top w:w="28" w:type="dxa"/>
          <w:left w:w="28" w:type="dxa"/>
          <w:bottom w:w="28" w:type="dxa"/>
          <w:right w:w="28" w:type="dxa"/>
        </w:tblCellMar>
      </w:tblPr>
      <w:tblGrid>
        <w:gridCol w:w="2080"/>
        <w:gridCol w:w="1825"/>
        <w:gridCol w:w="1840"/>
        <w:gridCol w:w="211"/>
        <w:gridCol w:w="766"/>
        <w:gridCol w:w="109"/>
        <w:gridCol w:w="109"/>
        <w:gridCol w:w="109"/>
        <w:gridCol w:w="109"/>
        <w:gridCol w:w="211"/>
        <w:gridCol w:w="766"/>
        <w:gridCol w:w="109"/>
        <w:gridCol w:w="109"/>
        <w:gridCol w:w="109"/>
        <w:gridCol w:w="109"/>
        <w:gridCol w:w="211"/>
        <w:gridCol w:w="766"/>
        <w:gridCol w:w="154"/>
      </w:tblGrid>
      <w:tr>
        <w:trPr/>
        <w:tc>
          <w:tcPr>
            <w:tcW w:w="2080"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2025, net cash provided by operating activities of $3.03 billion exceeded our net income of $2.88 billion, primarily due to the following factors:</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1.Our net income included non-cash charges of $1.43 billion, consisting primarily of share-based compensation of $788 million and depreciation expense and losses on the disposal of property, plant, and equipment of $615 million.</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2.Changes in operating assets and liabilities resulted in $1.27 billion of cash used in operating activities during the year ended December 31, 2025. Inventory increased by $1.06 billion, primarily to address the growth in our business and to mitigate risks of disruption that could arise from global supply chain shortages. We also transferred systems for leasing to our customers from inventory to property, plant, and equipment of $809 million to support the expansion of our leasing business. These uses of cash were partially offset by the return to inventory of leased systems of $106 million. Refer to Note 4 to the Consolidated Financial Statements for further details regarding inventory in the supplemental cash flow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Cash used in operating activities was also driven by an increase in accounts receivable of $302 million, primarily due to increased sales and the timing of billings. Prepaid and other assets increased by $187 million, primarily driven by an increase in prepaid expenses due to timing, an increase in lease incentive assets associated with operating leases, and new and extended facilities leases. The unfavorable impact of these items on cash provided by operating activities was partially offset by an increase in accrued compensation and employee benefits of $113 million, primarily due to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variable compensation and higher headcount; an increase in deferred revenue of $75 million, primarily due to an increased volume of sales and service contracts; and an increase in accounts payable of $58 million, primarily due to higher inventory purchases.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2024, net cash provided by operating activities of $2.42 billion exceeded our net income of $2.34 billion, primarily due to the following factors:</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1.Our net income included non-cash charges of $997 million, consisting primarily of share-based compensation of $677 million, depreciation expense and losses on the disposal of property, plant, and equipment of $445 million, and amortization of deferred commissions of $38 million, partially offset by deferred income tax benefits of $135 million and accretion of investment discounts, net of losses on investments of $43 million.</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non-cash charges outlined above were partially offset by changes in operating assets and liabilities that resulted in $919 million of cash used in operating activities during the year ended December 31, 2024. Inventory, including the transfer of equipment from inventory to property, plant, and equipment of $615 million, partially offset by the transfer of property, plant, and equipment to inventory of $44 million, increased by $830 million, primarily to address the growth in our business, expand our leasing business, and mitigate risks of disruption that could arise from global supply chain shortages and manufacturing line transfers. Refer to Note 4 to the Consolidated Financial Statements for further details regarding inventory in the supplemental cash flow information.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was also driven by an increase in prepaid and other assets of $232 million, primarily driven by new and extended lessee operating lease arrangements and deferred commissions as a result of operating leasing arrangements with customers. Accounts receivable increased by $96 million, primarily due to increased sales, as well as the timing of billings and collections. The unfavorable impact of these items on cash provided by operating activities was partially offset by an increase in other liabilities of $108 million, primarily driven by new and extended lessee operating lease arrangements. Also, accrued compensation and employee benefits increased by $99 million, primarily due to higher headcount and higher variable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for 2025 consisted primarily of proceeds from maturities and sales of investments, net of purchases, of $1.22 billion, partially offset by $540 million paid for the acquisition of property, plant, and equipment.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2024 consisted primarily of purchases of investments, net of proceeds from maturities and sales, of $2.16 billion and $1.11 billion paid for the acquisition of property, plant, and equipment.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2023 consisted primarily of $1.06 billion paid for the acquisition of property, plant, and equipment, partially offset by proceeds from maturities and sales of investments, net of purchases, of $0.71 billion.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invest predominantly in high quality, fixed income securities. Our investment portfolio may, at any time, contain investments in money market funds, U.S. treasury and U.S. government agency securities, high-quality corporate notes and bonds, commercial paper, non-U.S. government agency securities, and taxable and tax-exempt municipal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2025 consisted primarily of cash used in the repurchase of 4.8 million shares of our common stock for $2.3 billion and taxes paid on behalf of employees related to net share settlements of vested employee equity awards of $419 million, partially offset by cash proceeds from stock option exercises and employee stock purchases of $350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2024 consisted primarily of proceeds from stock option exercises and employee stock purchases of $429 million, partially offset by cash used for taxes paid on behalf of employees related to net share settlements of vested employee equity awards of $270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2023 consisted primarily of cash used in the repurchase of approximately 1.7 million shares of our common stock for $416 million and taxes paid on behalf of employees related to net share settlements of vested employee equity awards of $165 million, partially offset by proceeds from stock option exercises and employee stock purchases of $296 million.</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build the infrastructure needed to scale and supply our customers with highly differentiated products manufactured in highly automated factories to facilitate outstanding performance in product quality, availability, and cost. A significant portion of our investment involves the construction of facilities to expand our manufacturing and commercial capabilities. We have also been vertically integrating key technologies to develop a more robust supply chain and bring important products to market at attractive price points. These investments include increased ownership of our imaging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pipelines, and investments in strategic instruments and accessories technologies that allow us to serve our customers better. We intend to continue to fund our capital investments with cash generated from operations.</w:t>
      </w:r>
    </w:p>
    <w:p>
      <w:pPr>
        <w:pStyle w:val="TextBody"/>
        <w:bidi w:val="0"/>
        <w:spacing w:lineRule="auto" w:line="288" w:before="0" w:after="120"/>
        <w:ind w:left="0" w:right="0" w:firstLine="360"/>
        <w:jc w:val="both"/>
        <w:rPr>
          <w:rFonts w:ascii="Times New Roman;serif" w:hAnsi="Times New Roman;serif"/>
          <w:b/>
          <w:i/>
          <w:color w:val="000000"/>
          <w:sz w:val="20"/>
        </w:rPr>
      </w:pPr>
      <w:r>
        <w:rPr>
          <w:rFonts w:ascii="Times New Roman;serif" w:hAnsi="Times New Roman;serif"/>
          <w:b/>
          <w:i/>
          <w:color w:val="000000"/>
          <w:sz w:val="20"/>
        </w:rPr>
        <w:t>Intuitive Ventures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2020, we launched Intuitive Ventures Fund I, an inaugural $100 million fund focused on investment opportunities in companies that share Intuitive’s commitment to advancing positive outcomes in healthcare. As of December 31, 2025, we have invested $70 million of the $100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2023, we launched Intuitive Ventures Fund II, a $150 million fund focused on investment opportunities in companies reimagining the future of minimally invasive care. As of December 31, 2025, we have invested $30 million of the $150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Contractual Obligations and Commercial Commitments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We lease spaces for our operations in the U.S. as well as in Japan, China, Israel, Mexico, Germany, South Korea, the United Kingdom, India, and other countries. We also lease automobiles for certain sales and field service employees. These leases have varying terms of up to 20 years. Operating lease amounts include future minimum lease payments under all of our non-cancellable operating leases with an initial term in excess of one year. Refer to Note 6 to the Consolidated Financial Statements included in Part II, Item 8 for further details.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Purchase commitments and obligations.</w:t>
      </w:r>
      <w:r>
        <w:rPr>
          <w:color w:val="000000"/>
        </w:rPr>
        <w:t xml:space="preserve"> </w:t>
      </w:r>
      <w:r>
        <w:rPr>
          <w:rFonts w:ascii="Times New Roman;serif" w:hAnsi="Times New Roman;serif"/>
          <w:b w:val="false"/>
          <w:color w:val="000000"/>
          <w:sz w:val="20"/>
        </w:rPr>
        <w:t>Total purchase commitments and obligations as of December 31, 2025, are estimated to be approximately $2.53 billion, of which $2.37 billion is expected to be due within a year. These amounts include an estimate of all open purchase orders and contractual obligations in the ordinary course of business, including commitments with contract manufacturers and suppliers for which we have not received the goods or services, commitments for capital expenditures, including construction-related activities, for which we have not received the goods or services, and commitments for the acquisition and licensing of intellectual property. Approximately one third of our estimated purchase commitments and obligations are facilities-related. Although open purchase orders are considered enforceable and legally binding, the terms generally allow us the option to cancel, reschedule, or adjust our requirements based on our business needs prior to the delivery of goods or performance of services. In addition to the above, we have committed to making potential future milestone payments to third parties as part of licensing, collaboration, and development arrangements. Payments under these agreements generally become due and payable only upon achievement of certain developmental, regulatory, and/or commercial milestones. For instances in which the achievement of these milestones is neither probable nor reasonably estimable, such contingencies have not been recorded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did not have any significant off-balance sheet arrangements, as defined in Item 303(a)(4)(ii) of Regulation S-K promulgated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conformity with GAAP, which requires us to make judgments, estimates, and assumptions. See “Note 2. Summary of Significant Accounting Policies,” in Notes to the Consolidated Financial Statements, which is included in “Item 8. Financial Statements and Supplementary Data,” for a description of our significant accounting policies and methods used in the preparation of our Consolidated Financial Statements. The methods, estimates, and judgments that we use in applying our accounting policies require us to make difficult and subjective judgments, often as a result of the need to make estimates regarding matters that are inherently uncertain. Our most critical accounting estimates include:</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Standalone selling prices used to allocate the contract consideration to the individual performance obligations, which impacts revenue recognition;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Valuation of inventory, which impacts gross profit margins;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Valuation of and assessment of the recoverability of intangible assets and goodwill and the estimated useful lives of intangible assets, which primarily impacts gross profit margin or operating expenses when we record asset impairments or accelerate their amortization;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Recognition and measurement of current and deferred income taxes (including the measurement of uncertain tax positions), which impact our provision for taxes;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Estimate of probable loss associated with legal contingencies, which impacts accrued liabilities and operating expenses.</w:t>
      </w:r>
    </w:p>
    <w:p>
      <w:pPr>
        <w:pStyle w:val="TextBody"/>
        <w:bidi w:val="0"/>
        <w:spacing w:lineRule="auto" w:line="288" w:before="0" w:after="120"/>
        <w:ind w:left="0" w:right="0" w:firstLine="360"/>
        <w:jc w:val="both"/>
        <w:rPr/>
      </w:pPr>
      <w:r>
        <w:rPr>
          <w:rFonts w:ascii="Times New Roman;serif" w:hAnsi="Times New Roman;serif"/>
          <w:b/>
          <w:color w:val="000000"/>
          <w:sz w:val="20"/>
        </w:rPr>
        <w:t>Revenue recognition.</w:t>
      </w:r>
      <w:r>
        <w:rPr>
          <w:color w:val="000000"/>
        </w:rPr>
        <w:t xml:space="preserve"> </w:t>
      </w:r>
      <w:r>
        <w:rPr>
          <w:rFonts w:ascii="Times New Roman;serif" w:hAnsi="Times New Roman;serif"/>
          <w:b w:val="false"/>
          <w:color w:val="000000"/>
          <w:sz w:val="20"/>
        </w:rPr>
        <w:t xml:space="preserve">Our system sale arrangements contain multiple products and services, including system(s), system components, system accessories, instruments, accessories, and services. Other than services, we generally deliver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products upfront. Each of these products and services is a distinct performance obligation. System accessories, instruments, accessories, and services are also sold on a standalone basis.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prices considering market conditions and entity-specific factors including, but not limited to, historical pricing data, features and functionality of the products and services, geographies, type of customer, and market conditions. We regularly review standalone selling prices and maintain internal controls over establishing and updating these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system sales arrangements generally include a five-year period of service. The first year of service is generally included in the system sale arrangement for no additional consideration, and the remaining four years are billed separately at a stated service price. Revenue that is allocated to the service obligation is deferred and recognized ratably over the service period.</w:t>
      </w:r>
    </w:p>
    <w:p>
      <w:pPr>
        <w:pStyle w:val="TextBody"/>
        <w:bidi w:val="0"/>
        <w:spacing w:lineRule="auto" w:line="288" w:before="0" w:after="120"/>
        <w:ind w:left="0" w:right="0" w:firstLine="360"/>
        <w:jc w:val="both"/>
        <w:rPr/>
      </w:pPr>
      <w:r>
        <w:rPr>
          <w:rFonts w:ascii="Times New Roman;serif" w:hAnsi="Times New Roman;serif"/>
          <w:b/>
          <w:color w:val="000000"/>
          <w:sz w:val="20"/>
        </w:rPr>
        <w:t>Inventory valuation.</w:t>
      </w:r>
      <w:r>
        <w:rPr>
          <w:color w:val="000000"/>
        </w:rPr>
        <w:t xml:space="preserve"> </w:t>
      </w:r>
      <w:r>
        <w:rPr>
          <w:rFonts w:ascii="Times New Roman;serif" w:hAnsi="Times New Roman;serif"/>
          <w:b w:val="false"/>
          <w:color w:val="000000"/>
          <w:sz w:val="20"/>
        </w:rPr>
        <w:t>Inventory is stated at the lower of cost or net realizable value on a first-in, first-out basis. The cost basis of our inventory is reduced for any products that are considered excess or obsolete based on assumptions about future demand and market conditions. If actual future demand or market conditions are less favorable than those projected by management, additional inventory write-downs may be required, which could have a material adverse effect on the results of our operations.</w:t>
      </w:r>
    </w:p>
    <w:p>
      <w:pPr>
        <w:pStyle w:val="TextBody"/>
        <w:bidi w:val="0"/>
        <w:spacing w:lineRule="auto" w:line="288" w:before="0" w:after="120"/>
        <w:ind w:left="0" w:right="0" w:firstLine="360"/>
        <w:jc w:val="both"/>
        <w:rPr/>
      </w:pPr>
      <w:r>
        <w:rPr>
          <w:rFonts w:ascii="Times New Roman;serif" w:hAnsi="Times New Roman;serif"/>
          <w:b/>
          <w:color w:val="000000"/>
          <w:sz w:val="20"/>
        </w:rPr>
        <w:t>Valuation of intangible assets and goodwill.</w:t>
      </w:r>
      <w:r>
        <w:rPr>
          <w:color w:val="000000"/>
        </w:rPr>
        <w:t xml:space="preserve"> </w:t>
      </w:r>
      <w:r>
        <w:rPr>
          <w:rFonts w:ascii="Times New Roman;serif" w:hAnsi="Times New Roman;serif"/>
          <w:b w:val="false"/>
          <w:color w:val="000000"/>
          <w:sz w:val="20"/>
        </w:rPr>
        <w:t>We allocate the fair value of purchase consideration, including contingent consideration, to assets acquired and liabilities assumed in a business combination based on their estimated fair values at the acquisition date. The excess of the fair value of the purchase consideration over the fair value of assets acquired, liabilities assumed, and any noncontrolling interest is recorded as goodwill. When determining the fair value of assets acquired, liabilities assumed, and any noncontrolling interest, management is required to make certain estimates and assumptions, especially with respect to intangible assets. The estimates and assumptions used in valuing intangible assets include, but are not limited to, the amount and timing of projected future cash flows, the discount rate used to determine the present value of these cash flows, and the determination of the assets’ life cycle. These estimates are inherently uncertain and, therefore, actual results may differ from the estimates made.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intangible assets include identifiable intangible assets and goodwill. Identifiable intangible assets include in-process research and development, developed technology, patents, distribution rights, customer relationships, licenses, and non-competition arrangements. Our identifiable intangible assets, except for in-process research and development, have finite lives. Goodwill and intangible assets with indefinite lives are subject to an annual impairment review (or more frequent if impairment indicators arise) by applying a fair value-based test. There have been no such impairments.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with finite lives are subject to impairment testing and are reviewed for impairment when events or circumstances indicate that the carrying value of an asset is not recoverable and its carrying amount exceeds its fair value. We evaluate the recoverability of the carrying value of these identifiable intangible assets based on estimated undiscounted cash flows to be generated from such assets. If the cash flow estimates or the significant operating assumptions upon which they are based change in the future, we may be required to record additional impairment charges.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valuation and classification of intangible assets and goodwill and the assignment of useful lives for purposes of amortization involves judgments and the use of estimates. The evaluation of these intangible assets and goodwill for impairment under established accounting principles is required on a recurring basis. Changes in business conditions could potentially require future adjustments to the assumptions made. When we determine that the useful lives of assets are shorter than we had originally estimated, we accelerate the rate of amortization over the assets’ new, shorter useful lives. No significant impairment charges or accelerated amortization were recorded in 2025, 2024, and 2023. A considerable amount of judgment is required in assessing impairment, which includes financial forecasts. If conditions are different from management’s current estimates, material write-downs of long-lived assets may be required, which would adversely affect our operating results.</w:t>
      </w:r>
    </w:p>
    <w:p>
      <w:pPr>
        <w:pStyle w:val="TextBody"/>
        <w:bidi w:val="0"/>
        <w:spacing w:lineRule="auto" w:line="288" w:before="0" w:after="120"/>
        <w:ind w:left="0" w:right="0" w:firstLine="360"/>
        <w:jc w:val="both"/>
        <w:rPr/>
      </w:pPr>
      <w:r>
        <w:rPr>
          <w:rFonts w:ascii="Times New Roman;serif" w:hAnsi="Times New Roman;serif"/>
          <w:b/>
          <w:color w:val="000000"/>
          <w:sz w:val="20"/>
        </w:rPr>
        <w:t xml:space="preserve">Accounting for income taxes. </w:t>
      </w:r>
      <w:r>
        <w:rPr>
          <w:rFonts w:ascii="Times New Roman;serif" w:hAnsi="Times New Roman;serif"/>
          <w:b w:val="false"/>
          <w:color w:val="000000"/>
          <w:sz w:val="20"/>
        </w:rPr>
        <w:t>Significant management judgment is required in determining our provision for income taxes, deferred tax assets and liabilities, and any valuation allowance recorded against deferred tax assets in accordance with GAAP. Significant changes to these estimates may result in an increase or decrease in our tax provision in the current period or subsequent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evaluate the likelihood of recovering our deferred tax assets and record a valuation allowance when it is more likely than not that some or all of these assets will not be realized. The recoverability of deferred tax assets depends on our ability to generate sufficient taxable income in the jurisdictions where those assets are recorded. In making this assessment, we consider forecasted taxable income, including income that may result from prudent and feasible tax planning strategies, as well as the expected reversal of existing taxable temporary differences. These factors are reviewed regularly to determine whether adjustments to the valuation allowance are necessary. If actual results differ from our forecasts or if tax laws change, our ability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to realize deferred tax assets could be affected, which may result in an increase or decrease in our income tax provision in future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calculation of our tax liabilities involves significant complexity due to the application of detailed tax rules across multiple jurisdictions. We recognize liabilities for uncertain tax positions using a two-step approach. First, we determine whether it is more likely than not that a tax position will be sustained upon examination, including any appeals or litigation, based on its technical merits. If this threshold is met, we then measure the benefit as the largest amount that is more than 50% likely to be realized upon ultimate settlement. Estimating these amounts requires considerable judgment and is inherently subjective, as it involves assessing the probability of various possible outcomes. We review and update our uncertain tax positions on a quarterly basis, taking into account changes in facts and circumstances including, but not limited to, new tax laws, audit developments, and effective settlements. Any adjustment in recognition or measurement may result in recording an additional tax provision or recognizing a tax benefit in the period of change.</w:t>
      </w:r>
    </w:p>
    <w:p>
      <w:pPr>
        <w:pStyle w:val="TextBody"/>
        <w:bidi w:val="0"/>
        <w:spacing w:lineRule="auto" w:line="288" w:before="0" w:after="120"/>
        <w:ind w:left="0" w:right="0" w:firstLine="360"/>
        <w:jc w:val="both"/>
        <w:rPr/>
      </w:pPr>
      <w:r>
        <w:rPr>
          <w:rFonts w:ascii="Times New Roman;serif" w:hAnsi="Times New Roman;serif"/>
          <w:b/>
          <w:color w:val="000000"/>
          <w:sz w:val="20"/>
        </w:rPr>
        <w:t>Accounting for legal contingencies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From time to time, we are involved in a number of legal proceedings involving product liability, intellectual property, shareholder derivative actions, securities class actions, employment, and other matters. We record a liability and related charge to earnings in our Consolidated Financial Statements for legal contingencies when the loss is considered probable and the amount can be reasonably estimated. Our assessment is re-evaluated each period and is based on all available information, including discussion with any outside legal counsel that represents us. If a reasonable estimate of a known or probable loss cannot be made, but a range of probable losses can be estimated, the low-end of the range of losses is recognized if no amount within the range is a better estimate than any other. If a material loss is reasonably possible, but not probable, and can be reasonably estimated, the estimated loss or range of loss is disclosed in the Notes to the Consolidated Financial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and is difficult to predict and, therefore, the ultimate cost to entirely resolve such matters may be materially different than the amount of current estimates. Consequently, new information or changes in judgments and estimates could have a material adverse effect on our business, financial condition, and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Summary of Significant Accounting Policies” of the Notes to Consolidated Financial Statements in “Item 8. Financial Statements and Supplementary Data” for additional information regarding recent accounting pronouncements, including the respective expected dates of adoption and estimated effects, if any,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Interest Rate and Market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objective of our investment activities is to preserve principal while supporting our liquidity requirements. To achieve this objective, we maintain a diversified portfolio of cash equivalents and short- and long-term investments in a variety of high-quality securities, including money market funds, U.S. treasury and U.S. government agency securities, high-quality corporate notes and bonds, commercial paper, non-U.S. government agency securities, and taxable and tax-exempt municipal notes. The securities are classified as available-for-sale and consequently are recorded at fair value with unrealized gains or losses reported as a separate component of accumulated other comprehensive loss. The weighted average duration of our portfolio as of December 31, 2025, was approximately 0.9 years. If interest rates rise, the market value of our investments may decline, which could result in a realized loss if we are forced to sell an investment before its scheduled maturity. A hypothetical increase or decrease in interest rates by 25 basis points would have resulted in a decrease or increase in the fair value of our net investment position of approximately $19 million, respectively, as of December 31, 2025. We do not utilize derivative financial instruments to manage our interest rate risks.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 financial markets could result in a tightening in the credit markets, a reduced level of liquidity in many financial markets, and extreme volatility in fixed income and credit markets. The credit ratings of the securities we have invested in could deteriorate and may have an adverse impact on the carrying value of these investments.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Foreign Exchange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 expense, and capital purchasing activities are transacted in U.S. dollars. However, we generally sell our products and services in local currencies where we have direct distribution channels. We operate in a number of markets on a direct sales basis and incur operating expenses in local currencies. We also purchase certain product components from non-U.S. suppliers in local currency. As a result, because a portion of our operations consists of sales activities outside of the U.S., we have foreign exchange exposures to non-U.S. dollar revenues, operating expenses, accounts receivable, accounts payable, and foreign currency bank balances.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2025, sales denominated in foreign currencies were approximately 24% of total revenue. The objective of our hedging program is to mitigate the impact of changes in currency exchange rates on our net cash flow from foreign currency-denominated sales and expenses. For 2025, our revenue would have decreased by approximately $140 million if the U.S. dollar exchange rate strengthened by 10% against the foreign-denominated foreign currencies in which we sell. We also hedge the net recognized non-functional currency balance sheet exposures with foreign exchange forward contracts to reduce the risk that our earnings and cash flows will be adversely affected by changes in exchange rates. A 10% strengthening of the U.S. dollar exchange rate against all currencies to which we have exposure, after considering foreign currency hedges and offsetting positions as of December 31, 2025, would have resulted in an approximately $2 million decrease in the carrying amounts of those net assets. Actual gains and losses in the future may differ materially from the hypothetical gains and losses discussed above based on changes in the timing and amount of foreign currency exchange rate movements and our actual exposure and hedging transactions. Bank counterparties to foreign exchange forward contracts expose us to credit-related losses in the event of their nonperformance. To mitigate that risk, we only contract with counterparties that meet certain minimum requirements under our counterparty risk assessment process. We monitor credit ratings and potential downgrades on at least a quarterly basis. Based on our ongoing assessment of counterparty risk, we will adjust our exposure to various counterparties.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sell to distributors outside of the U.S. in U.S. dollars, strengthening of the dollar can impact our distributors’ margins and could impact the end customers’ ability to purchase our products if our distributors seek to recover the impact of the change in the dollar by increasing product and service prices. Less than 10% of our revenue is conducted through distributors outside of the U.S. Strengthening of the dollar relative to non-U.S. currencies could have an adverse impact on 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operations outside of the U.S. are subject to risks typical of operations outside of the U.S. including, but not limited to, differing economic conditions, changes in the political climate, differing tax structures, other regulations and restrictions, and foreign exchange rate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120"/>
        <w:ind w:left="0" w:right="0" w:firstLine="360"/>
        <w:jc w:val="both"/>
        <w:rPr/>
      </w:pPr>
      <w:hyperlink w:anchor="ia1fb1a5252904fe68dcec7c16634164c_7">
        <w:r>
          <w:rPr>
            <w:rStyle w:val="InternetLink"/>
            <w:rFonts w:ascii="Times New Roman;serif" w:hAnsi="Times New Roman;serif"/>
            <w:b w:val="false"/>
            <w:color w:val="000080"/>
            <w:sz w:val="20"/>
            <w:u w:val="single"/>
          </w:rPr>
          <w:t>Table</w:t>
        </w:r>
      </w:hyperlink>
      <w:hyperlink w:anchor="ia1fb1a5252904fe68dcec7c16634164c_7">
        <w:r>
          <w:rPr>
            <w:rStyle w:val="InternetLink"/>
            <w:rFonts w:ascii="Times New Roman;serif" w:hAnsi="Times New Roman;serif"/>
            <w:b w:val="false"/>
            <w:color w:val="000080"/>
            <w:sz w:val="20"/>
            <w:u w:val="single"/>
          </w:rPr>
          <w:t xml:space="preserve"> of Contents</w:t>
        </w:r>
      </w:hyperlink>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775" w:type="dxa"/>
        <w:jc w:val="center"/>
        <w:tblInd w:w="0" w:type="dxa"/>
        <w:tblLayout w:type="fixed"/>
        <w:tblCellMar>
          <w:top w:w="28" w:type="dxa"/>
          <w:left w:w="28" w:type="dxa"/>
          <w:bottom w:w="28" w:type="dxa"/>
          <w:right w:w="28" w:type="dxa"/>
        </w:tblCellMar>
      </w:tblPr>
      <w:tblGrid>
        <w:gridCol w:w="2485"/>
        <w:gridCol w:w="2185"/>
        <w:gridCol w:w="2196"/>
        <w:gridCol w:w="478"/>
        <w:gridCol w:w="478"/>
        <w:gridCol w:w="480"/>
        <w:gridCol w:w="191"/>
        <w:gridCol w:w="191"/>
        <w:gridCol w:w="192"/>
        <w:gridCol w:w="263"/>
        <w:gridCol w:w="263"/>
        <w:gridCol w:w="373"/>
      </w:tblGrid>
      <w:tr>
        <w:trPr/>
        <w:tc>
          <w:tcPr>
            <w:tcW w:w="2485"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17">
              <w:r>
                <w:rPr>
                  <w:rStyle w:val="InternetLink"/>
                  <w:rFonts w:ascii="Times New Roman;serif" w:hAnsi="Times New Roman;serif"/>
                  <w:b w:val="false"/>
                  <w:color w:val="000080"/>
                  <w:sz w:val="20"/>
                  <w:u w:val="single"/>
                </w:rPr>
                <w:t>Report of Independent Registered Public Accounting Firm</w:t>
              </w:r>
            </w:hyperlink>
            <w:r>
              <w:rPr>
                <w:rFonts w:ascii="Times New Roman;serif" w:hAnsi="Times New Roman;serif"/>
                <w:b w:val="false"/>
                <w:color w:val="0000FF"/>
                <w:sz w:val="20"/>
                <w:u w:val="single"/>
              </w:rPr>
              <w:t xml:space="preserve"> –</w:t>
            </w:r>
          </w:p>
        </w:tc>
        <w:tc>
          <w:tcPr>
            <w:tcW w:w="14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PCAOB ID:</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238</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17">
              <w:r>
                <w:rPr>
                  <w:rStyle w:val="InternetLink"/>
                  <w:rFonts w:ascii="Times New Roman;serif" w:hAnsi="Times New Roman;serif"/>
                  <w:b w:val="false"/>
                  <w:color w:val="0000FF"/>
                  <w:sz w:val="20"/>
                  <w:u w:val="single"/>
                </w:rPr>
                <w:t>88</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20">
              <w:r>
                <w:rPr>
                  <w:rStyle w:val="InternetLink"/>
                  <w:rFonts w:ascii="Times New Roman;serif" w:hAnsi="Times New Roman;serif"/>
                  <w:b w:val="false"/>
                  <w:color w:val="000080"/>
                  <w:sz w:val="20"/>
                  <w:u w:val="single"/>
                </w:rPr>
                <w:t xml:space="preserve">Consolidated Balance Sheets as of December 31, </w:t>
              </w:r>
            </w:hyperlink>
            <w:r>
              <w:rPr>
                <w:rFonts w:ascii="Times New Roman;serif" w:hAnsi="Times New Roman;serif"/>
                <w:b w:val="false"/>
                <w:color w:val="0000FF"/>
                <w:sz w:val="20"/>
                <w:u w:val="single"/>
              </w:rPr>
              <w:t>2025</w:t>
            </w:r>
            <w:hyperlink w:anchor="ia1fb1a5252904fe68dcec7c16634164c_220">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2024</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20">
              <w:r>
                <w:rPr>
                  <w:rStyle w:val="InternetLink"/>
                  <w:rFonts w:ascii="Times New Roman;serif" w:hAnsi="Times New Roman;serif"/>
                  <w:b w:val="false"/>
                  <w:color w:val="0000FF"/>
                  <w:sz w:val="20"/>
                  <w:u w:val="single"/>
                </w:rPr>
                <w:t>89</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23">
              <w:r>
                <w:rPr>
                  <w:rStyle w:val="InternetLink"/>
                  <w:rFonts w:ascii="Times New Roman;serif" w:hAnsi="Times New Roman;serif"/>
                  <w:b w:val="false"/>
                  <w:color w:val="000080"/>
                  <w:sz w:val="20"/>
                  <w:u w:val="single"/>
                </w:rPr>
                <w:t xml:space="preserve">Consolidated Statements of Income for the years ended December 31, </w:t>
              </w:r>
            </w:hyperlink>
            <w:r>
              <w:rPr>
                <w:rFonts w:ascii="Times New Roman;serif" w:hAnsi="Times New Roman;serif"/>
                <w:b w:val="false"/>
                <w:color w:val="0000FF"/>
                <w:sz w:val="20"/>
                <w:u w:val="single"/>
              </w:rPr>
              <w:t>2025</w:t>
            </w:r>
            <w:hyperlink w:anchor="ia1fb1a5252904fe68dcec7c16634164c_223">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2024</w:t>
            </w:r>
            <w:hyperlink w:anchor="ia1fb1a5252904fe68dcec7c16634164c_223">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23">
              <w:r>
                <w:rPr>
                  <w:rStyle w:val="InternetLink"/>
                  <w:rFonts w:ascii="Times New Roman;serif" w:hAnsi="Times New Roman;serif"/>
                  <w:b w:val="false"/>
                  <w:color w:val="0000FF"/>
                  <w:sz w:val="20"/>
                  <w:u w:val="single"/>
                </w:rPr>
                <w:t>90</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26">
              <w:r>
                <w:rPr>
                  <w:rStyle w:val="InternetLink"/>
                  <w:rFonts w:ascii="Times New Roman;serif" w:hAnsi="Times New Roman;serif"/>
                  <w:b w:val="false"/>
                  <w:color w:val="000080"/>
                  <w:sz w:val="20"/>
                  <w:u w:val="single"/>
                </w:rPr>
                <w:t xml:space="preserve">Consolidated Statements of Comprehensive Income for the years ended December 31, </w:t>
              </w:r>
            </w:hyperlink>
            <w:r>
              <w:rPr>
                <w:rFonts w:ascii="Times New Roman;serif" w:hAnsi="Times New Roman;serif"/>
                <w:b w:val="false"/>
                <w:color w:val="0000FF"/>
                <w:sz w:val="20"/>
                <w:u w:val="single"/>
              </w:rPr>
              <w:t>2025</w:t>
            </w:r>
            <w:hyperlink w:anchor="ia1fb1a5252904fe68dcec7c16634164c_226">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2024</w:t>
            </w:r>
            <w:hyperlink w:anchor="ia1fb1a5252904fe68dcec7c16634164c_22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26">
              <w:r>
                <w:rPr>
                  <w:rStyle w:val="InternetLink"/>
                  <w:rFonts w:ascii="Times New Roman;serif" w:hAnsi="Times New Roman;serif"/>
                  <w:b w:val="false"/>
                  <w:color w:val="0000FF"/>
                  <w:sz w:val="20"/>
                  <w:u w:val="single"/>
                </w:rPr>
                <w:t>91</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29">
              <w:r>
                <w:rPr>
                  <w:rStyle w:val="InternetLink"/>
                  <w:rFonts w:ascii="Times New Roman;serif" w:hAnsi="Times New Roman;serif"/>
                  <w:b w:val="false"/>
                  <w:color w:val="000080"/>
                  <w:sz w:val="20"/>
                  <w:u w:val="single"/>
                </w:rPr>
                <w:t xml:space="preserve">Consolidated Statements of Stockholders’ Equity for the years ended December 31, </w:t>
              </w:r>
            </w:hyperlink>
            <w:r>
              <w:rPr>
                <w:rFonts w:ascii="Times New Roman;serif" w:hAnsi="Times New Roman;serif"/>
                <w:b w:val="false"/>
                <w:color w:val="0000FF"/>
                <w:sz w:val="20"/>
                <w:u w:val="single"/>
              </w:rPr>
              <w:t>2025</w:t>
            </w:r>
            <w:hyperlink w:anchor="ia1fb1a5252904fe68dcec7c16634164c_229">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2024</w:t>
            </w:r>
            <w:hyperlink w:anchor="ia1fb1a5252904fe68dcec7c16634164c_22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29">
              <w:r>
                <w:rPr>
                  <w:rStyle w:val="InternetLink"/>
                  <w:rFonts w:ascii="Times New Roman;serif" w:hAnsi="Times New Roman;serif"/>
                  <w:b w:val="false"/>
                  <w:color w:val="0000FF"/>
                  <w:sz w:val="20"/>
                  <w:u w:val="single"/>
                </w:rPr>
                <w:t>92</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32">
              <w:r>
                <w:rPr>
                  <w:rStyle w:val="InternetLink"/>
                  <w:rFonts w:ascii="Times New Roman;serif" w:hAnsi="Times New Roman;serif"/>
                  <w:b w:val="false"/>
                  <w:color w:val="000080"/>
                  <w:sz w:val="20"/>
                  <w:u w:val="single"/>
                </w:rPr>
                <w:t xml:space="preserve">Consolidated Statements of Cash Flows for the years ended December 31, </w:t>
              </w:r>
            </w:hyperlink>
            <w:r>
              <w:rPr>
                <w:rFonts w:ascii="Times New Roman;serif" w:hAnsi="Times New Roman;serif"/>
                <w:b w:val="false"/>
                <w:color w:val="0000FF"/>
                <w:sz w:val="20"/>
                <w:u w:val="single"/>
              </w:rPr>
              <w:t>2025</w:t>
            </w:r>
            <w:hyperlink w:anchor="ia1fb1a5252904fe68dcec7c16634164c_232">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FF"/>
                <w:sz w:val="20"/>
                <w:u w:val="single"/>
              </w:rPr>
              <w:t>2024</w:t>
            </w:r>
            <w:hyperlink w:anchor="ia1fb1a5252904fe68dcec7c16634164c_23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2023</w:t>
            </w:r>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32">
              <w:r>
                <w:rPr>
                  <w:rStyle w:val="InternetLink"/>
                  <w:rFonts w:ascii="Times New Roman;serif" w:hAnsi="Times New Roman;serif"/>
                  <w:b w:val="false"/>
                  <w:color w:val="0000FF"/>
                  <w:sz w:val="20"/>
                  <w:u w:val="single"/>
                </w:rPr>
                <w:t>93</w:t>
              </w:r>
            </w:hyperlink>
          </w:p>
        </w:tc>
      </w:tr>
      <w:tr>
        <w:trPr/>
        <w:tc>
          <w:tcPr>
            <w:tcW w:w="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7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a1fb1a5252904fe68dcec7c16634164c_235">
              <w:r>
                <w:rPr>
                  <w:rStyle w:val="InternetLink"/>
                  <w:rFonts w:ascii="Times New Roman;serif" w:hAnsi="Times New Roman;serif"/>
                  <w:b w:val="false"/>
                  <w:color w:val="0000FF"/>
                  <w:sz w:val="20"/>
                  <w:u w:val="single"/>
                </w:rPr>
                <w:t>Notes to the Consolidated Financial Statements</w:t>
              </w:r>
            </w:hyperlink>
          </w:p>
        </w:tc>
        <w:tc>
          <w:tcPr>
            <w:tcW w:w="89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1fb1a5252904fe68dcec7c16634164c_235">
              <w:r>
                <w:rPr>
                  <w:rStyle w:val="InternetLink"/>
                  <w:rFonts w:ascii="Times New Roman;serif" w:hAnsi="Times New Roman;serif"/>
                  <w:b w:val="false"/>
                  <w:color w:val="0000FF"/>
                  <w:sz w:val="20"/>
                  <w:u w:val="single"/>
                </w:rPr>
                <w:t>94</w:t>
              </w:r>
            </w:hyperlink>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574"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r>
      <w:tr>
        <w:trPr/>
        <w:tc>
          <w:tcPr>
            <w:tcW w:w="6866"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c>
          <w:tcPr>
            <w:tcW w:w="1473"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they are not applicable or the required information is shown in the Consolidated Financial Statements or the Notes thereto.</w:t>
      </w:r>
    </w:p>
    <w:p>
      <w:pPr>
        <w:pStyle w:val="TextBody"/>
        <w:bidi w:val="0"/>
        <w:spacing w:before="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Intuitive Surgical, Inc.</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88" w:before="0" w:after="120"/>
        <w:jc w:val="both"/>
        <w:rPr/>
      </w:pPr>
      <w:r>
        <w:rPr>
          <w:rFonts w:ascii="Times New Roman;serif" w:hAnsi="Times New Roman;serif"/>
          <w:b w:val="false"/>
          <w:color w:val="000000"/>
          <w:sz w:val="20"/>
        </w:rPr>
        <w:t xml:space="preserve">We have audited the accompanying consolidated balance sheets of Intuitive Surgical, Inc. and its subsidiaries (the “Company”) as of December 31, 2025, and 2024, and the related consolidated statements of income, of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FF0000"/>
        </w:rPr>
        <w:t xml:space="preserve"> </w:t>
      </w:r>
      <w:r>
        <w:rPr>
          <w:rFonts w:ascii="Times New Roman;serif" w:hAnsi="Times New Roman;serif"/>
          <w:b w:val="false"/>
          <w:color w:val="000000"/>
          <w:sz w:val="20"/>
        </w:rPr>
        <w:t>(2013)</w:t>
      </w:r>
      <w:r>
        <w:rPr>
          <w:color w:val="FF0000"/>
        </w:rPr>
        <w:t xml:space="preserve"> </w:t>
      </w:r>
      <w:r>
        <w:rPr>
          <w:rFonts w:ascii="Times New Roman;serif" w:hAnsi="Times New Roman;serif"/>
          <w:b w:val="false"/>
          <w:color w:val="000000"/>
          <w:sz w:val="20"/>
        </w:rPr>
        <w:t>issued by the Committee of Sponsoring Organizations of the Treadway Commission (COSO).</w:t>
      </w:r>
    </w:p>
    <w:p>
      <w:pPr>
        <w:pStyle w:val="TextBody"/>
        <w:bidi w:val="0"/>
        <w:spacing w:lineRule="auto" w:line="288" w:before="0" w:after="120"/>
        <w:jc w:val="both"/>
        <w:rPr/>
      </w:pPr>
      <w:r>
        <w:rPr>
          <w:rFonts w:ascii="Times New Roman;serif" w:hAnsi="Times New Roman;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FF0000"/>
        </w:rPr>
        <w:t xml:space="preserve"> </w:t>
      </w:r>
      <w:r>
        <w:rPr>
          <w:rFonts w:ascii="Times New Roman;serif" w:hAnsi="Times New Roman;serif"/>
          <w:b w:val="false"/>
          <w:color w:val="000000"/>
          <w:sz w:val="20"/>
        </w:rPr>
        <w:t>(2013)</w:t>
      </w:r>
      <w:r>
        <w:rPr>
          <w:color w:val="FF0000"/>
        </w:rPr>
        <w:t xml:space="preserve"> </w:t>
      </w:r>
      <w:r>
        <w:rPr>
          <w:rFonts w:ascii="Times New Roman;serif" w:hAnsi="Times New Roman;serif"/>
          <w:b w:val="false"/>
          <w:color w:val="000000"/>
          <w:sz w:val="20"/>
        </w:rPr>
        <w:t>issued by the COSO.</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Determination of Standalone Selling Prices Related to System Sale Arrangements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described in Notes 2 and 5 to the consolidated financial statements, the Company recognized $2,473.7 million of systems revenue during the year ended December 31, 2025, of which a majority relates to system sale arrangements. The Company’s system sale arrangements include a combination of the following performance obligations: system(s); system components; system accessories; instruments; accessories; and system service. 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management estimates the standalone selling price considering market conditions and entity-specific factors including, but not limited to, historical pricing data, features and functionality of the products and services, geographies, and type of customer.</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considerations for our determination that performing procedures relating to the determination of standalone selling prices related to system sale arrangements is a critical audit matter are the significant judgment by management when determining estimates of standalone selling prices, which in turn led to a high degree of auditor judgment, subjectivity, and effort in performing procedures and evaluating audit evidence relating to the estimates of standalone selling prices used to allocate the transaction price of an arrangement to each distinct performance obligation.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over the revenue recognition process, including controls over the determination of the estimates of standalone selling prices. These procedures also included, among others, (i) testing management’s process for determining the estimates of standalone selling prices; (ii) evaluating the appropriateness of the overall methodology used by management to develop the estimates, including the appropriateness of the data inputs related to the systems, geographies, and type of customer used in the methodology; (iii) testing the completeness and accuracy of the data used in the methodology; and (iv) testing the accuracy of management’s calculations of estimated selling prices.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 xml:space="preserve">Table of Contents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 AMOUNTS)</w:t>
      </w:r>
    </w:p>
    <w:p>
      <w:pPr>
        <w:pStyle w:val="TextBody"/>
        <w:bidi w:val="0"/>
        <w:spacing w:before="0" w:after="0"/>
        <w:jc w:val="center"/>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974"/>
        <w:gridCol w:w="2249"/>
        <w:gridCol w:w="2227"/>
        <w:gridCol w:w="211"/>
        <w:gridCol w:w="871"/>
        <w:gridCol w:w="109"/>
        <w:gridCol w:w="109"/>
        <w:gridCol w:w="109"/>
        <w:gridCol w:w="109"/>
        <w:gridCol w:w="211"/>
        <w:gridCol w:w="871"/>
        <w:gridCol w:w="155"/>
      </w:tblGrid>
      <w:tr>
        <w:trPr/>
        <w:tc>
          <w:tcPr>
            <w:tcW w:w="2974"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5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$29.9 and $30.7 as of December 31, 2025, and 2024,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assets,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2.5 shares authorized, $0.001 par value, issuable in series; zero shares issued and outstanding as of December 31, 2025, and 2024</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600.0 shares authorized, $0.001 par value, 355.1 shares and 356.6 shares issued and outstanding as of December 31, 2025, and 2024,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Intuitive Surgical, Inc.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joint venture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18,743.2 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7450"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289"/>
        <w:gridCol w:w="1984"/>
        <w:gridCol w:w="1973"/>
        <w:gridCol w:w="211"/>
        <w:gridCol w:w="766"/>
        <w:gridCol w:w="109"/>
        <w:gridCol w:w="109"/>
        <w:gridCol w:w="109"/>
        <w:gridCol w:w="109"/>
        <w:gridCol w:w="211"/>
        <w:gridCol w:w="766"/>
        <w:gridCol w:w="109"/>
        <w:gridCol w:w="109"/>
        <w:gridCol w:w="109"/>
        <w:gridCol w:w="109"/>
        <w:gridCol w:w="211"/>
        <w:gridCol w:w="766"/>
        <w:gridCol w:w="156"/>
      </w:tblGrid>
      <w:tr>
        <w:trPr/>
        <w:tc>
          <w:tcPr>
            <w:tcW w:w="228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2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 in joint venture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Intuitive Surgical,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Intuitive Surgical, Inc.:</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net income per share attributable to Intuitive Surgical, Inc.:</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left"/>
        <w:rPr/>
      </w:pPr>
      <w:r>
        <w:rPr/>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265"/>
        <w:gridCol w:w="1980"/>
        <w:gridCol w:w="2001"/>
        <w:gridCol w:w="211"/>
        <w:gridCol w:w="766"/>
        <w:gridCol w:w="109"/>
        <w:gridCol w:w="109"/>
        <w:gridCol w:w="109"/>
        <w:gridCol w:w="109"/>
        <w:gridCol w:w="211"/>
        <w:gridCol w:w="766"/>
        <w:gridCol w:w="109"/>
        <w:gridCol w:w="109"/>
        <w:gridCol w:w="109"/>
        <w:gridCol w:w="109"/>
        <w:gridCol w:w="211"/>
        <w:gridCol w:w="766"/>
        <w:gridCol w:w="156"/>
      </w:tblGrid>
      <w:tr>
        <w:trPr/>
        <w:tc>
          <w:tcPr>
            <w:tcW w:w="2265"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2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gains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 (net of tax):</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losses on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Hedge instruments (net of tax):</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gains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losses on hedge instruments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benefit plans (net of tax):</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losses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losses on employee benefit plans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attributable to Intuitive Surgical, Inc.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120"/>
        <w:jc w:val="center"/>
        <w:rPr/>
      </w:pPr>
      <w:r>
        <w:rPr/>
      </w:r>
    </w:p>
    <w:tbl>
      <w:tblPr>
        <w:tblW w:w="11539" w:type="dxa"/>
        <w:jc w:val="center"/>
        <w:tblInd w:w="0" w:type="dxa"/>
        <w:tblLayout w:type="fixed"/>
        <w:tblCellMar>
          <w:top w:w="28" w:type="dxa"/>
          <w:left w:w="28" w:type="dxa"/>
          <w:bottom w:w="28" w:type="dxa"/>
          <w:right w:w="28" w:type="dxa"/>
        </w:tblCellMar>
      </w:tblPr>
      <w:tblGrid>
        <w:gridCol w:w="464"/>
        <w:gridCol w:w="263"/>
        <w:gridCol w:w="264"/>
        <w:gridCol w:w="308"/>
        <w:gridCol w:w="308"/>
        <w:gridCol w:w="171"/>
        <w:gridCol w:w="109"/>
        <w:gridCol w:w="109"/>
        <w:gridCol w:w="109"/>
        <w:gridCol w:w="211"/>
        <w:gridCol w:w="406"/>
        <w:gridCol w:w="109"/>
        <w:gridCol w:w="109"/>
        <w:gridCol w:w="109"/>
        <w:gridCol w:w="109"/>
        <w:gridCol w:w="211"/>
        <w:gridCol w:w="871"/>
        <w:gridCol w:w="109"/>
        <w:gridCol w:w="109"/>
        <w:gridCol w:w="109"/>
        <w:gridCol w:w="109"/>
        <w:gridCol w:w="211"/>
        <w:gridCol w:w="766"/>
        <w:gridCol w:w="109"/>
        <w:gridCol w:w="109"/>
        <w:gridCol w:w="109"/>
        <w:gridCol w:w="109"/>
        <w:gridCol w:w="226"/>
        <w:gridCol w:w="677"/>
        <w:gridCol w:w="118"/>
        <w:gridCol w:w="109"/>
        <w:gridCol w:w="109"/>
        <w:gridCol w:w="109"/>
        <w:gridCol w:w="211"/>
        <w:gridCol w:w="871"/>
        <w:gridCol w:w="109"/>
        <w:gridCol w:w="109"/>
        <w:gridCol w:w="109"/>
        <w:gridCol w:w="109"/>
        <w:gridCol w:w="230"/>
        <w:gridCol w:w="671"/>
        <w:gridCol w:w="120"/>
        <w:gridCol w:w="109"/>
        <w:gridCol w:w="109"/>
        <w:gridCol w:w="109"/>
        <w:gridCol w:w="211"/>
        <w:gridCol w:w="871"/>
        <w:gridCol w:w="154"/>
      </w:tblGrid>
      <w:tr>
        <w:trPr/>
        <w:tc>
          <w:tcPr>
            <w:tcW w:w="46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Intuitive Surgical,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w:t>
              <w:br/>
              <w:t xml:space="preserve">in </w:t>
              <w:br/>
              <w:t>Joint</w:t>
              <w:br/>
              <w:t>Venture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Stockholders’ 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2022</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through employee stock plans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Issuance of common stock through employee stock plans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related to employee stock plans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declared and paid by joint venture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Intuitive Surgical, Inc.</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Issuance of common stock through employee stock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withheld related to net share settlement of equity awards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related to employee stock plans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Intuitive Surgical, Inc.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Cash dividends declared and paid by joint venture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noncontrolling interest in joint venture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548" w:type="dxa"/>
            <w:gridSpan w:val="45"/>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548" w:type="dxa"/>
            <w:gridSpan w:val="45"/>
            <w:tcBorders/>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10548" w:type="dxa"/>
            <w:gridSpan w:val="4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left"/>
        <w:rPr/>
      </w:pPr>
      <w:r>
        <w:rPr/>
      </w:r>
    </w:p>
    <w:p>
      <w:pPr>
        <w:pStyle w:val="TextBody"/>
        <w:bidi w:val="0"/>
        <w:spacing w:before="0" w:after="120"/>
        <w:jc w:val="center"/>
        <w:rPr/>
      </w:pPr>
      <w:r>
        <w:rPr/>
      </w:r>
    </w:p>
    <w:tbl>
      <w:tblPr>
        <w:tblW w:w="10205" w:type="dxa"/>
        <w:jc w:val="center"/>
        <w:tblInd w:w="0" w:type="dxa"/>
        <w:tblLayout w:type="fixed"/>
        <w:tblCellMar>
          <w:top w:w="28" w:type="dxa"/>
          <w:left w:w="28" w:type="dxa"/>
          <w:bottom w:w="28" w:type="dxa"/>
          <w:right w:w="28" w:type="dxa"/>
        </w:tblCellMar>
      </w:tblPr>
      <w:tblGrid>
        <w:gridCol w:w="2327"/>
        <w:gridCol w:w="1953"/>
        <w:gridCol w:w="1966"/>
        <w:gridCol w:w="211"/>
        <w:gridCol w:w="766"/>
        <w:gridCol w:w="109"/>
        <w:gridCol w:w="109"/>
        <w:gridCol w:w="109"/>
        <w:gridCol w:w="109"/>
        <w:gridCol w:w="211"/>
        <w:gridCol w:w="766"/>
        <w:gridCol w:w="109"/>
        <w:gridCol w:w="109"/>
        <w:gridCol w:w="109"/>
        <w:gridCol w:w="109"/>
        <w:gridCol w:w="211"/>
        <w:gridCol w:w="766"/>
        <w:gridCol w:w="156"/>
      </w:tblGrid>
      <w:tr>
        <w:trPr/>
        <w:tc>
          <w:tcPr>
            <w:tcW w:w="232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5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2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loss on disposal of 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and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investments and (accretion) amortization of investment discounts and premiums,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effects of acquisitions: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employee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Purchases of property, plant, and equipment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businesses, net of cash, and intellectual property and other investing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relating to employee stock plans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 of equity awards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dividends paid by joint venture to noncontrolling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purchase consideration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year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this report, “Intuitive,” the “Company,” “we,” “us,” and “our” refer to Intuitive Surgical, Inc. and its wholly and majority-owned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1.    DESCRIPTION OF THE BUSINESS</w:t>
      </w:r>
    </w:p>
    <w:p>
      <w:pPr>
        <w:pStyle w:val="TextBody"/>
        <w:bidi w:val="0"/>
        <w:spacing w:lineRule="auto" w:line="26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Intuitive develops, manufactures, and markets da Vinci surgical systems and the Ion endoluminal system. The Company’s products and related services enable physicians and healthcare providers to improve the quality of and access to minimally invasive care. The da Vinci surgical system is designed to enable surgeons to perform a wide range of surgical procedures within our targeted general surgery, urologic, gynecologic, cardiothoracic, and head and neck specialties and consists of a surgeon console or consoles, a patient-side cart, and a high-performance vision system. The Ion endoluminal system is a flexible, robotic-assisted, catheter-based platform for which the first cleared indication is minimally invasive biopsies in the lung and consists of a system cart, a controller, a catheter, and a vision probe. Both systems use software, instruments,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and accompanying notes have been prepared in accordance with accounting principles generally accepted in the United States of America (“GAAP”) and include the accounts of the Company and its wholly and majority-owned subsidiaries. All intercompany balances and transactions have been eliminated in consolidation.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results and balances of the Company’s majority-owned joint ventures, Intuitive Surgical-Fosun Medical Technology (Shanghai) Co., Ltd. and Intuitive Surgical-Fosun (HongKong) Co., Ltd. (collectively, the “Joint Venture”) with Shanghai Fosun Pharmaceutical (Group) Co., Ltd. (“Fosun Pharma”). The Company holds a controlling financial interest in the Joint Venture, and the noncontrolling interest is reflected as a separate component of the consolidated stockholders’ equity. The noncontrolling interest’s share of the earnings in the Joint Venture is presented separately in the Consolidated Statements of Income and Comprehensive Income for the years ended December 31, 2025, 2024, and 2023.</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in the Consolidated Financial Statements and accompanying Notes to the Consolidated Financial Statements. The accounting estimates that require management’s most significant, complex, and subjective judgments include the standalone selling prices used to allocate the contract consideration to the individual performance obligations, the valuation of inventory, the valuation of and assessment of the recoverability of intangible assets and goodwill, the recognition and measurement of current and deferred income taxes, including the measurement of uncertain tax positions, and the estimates for legal contingencies. Actual results could differ materially from these estimates.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Concentrations of Credit Risk and Other Risks and Uncertainties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amounts for financial instruments consisting of cash and cash equivalents, accounts receivable, accounts payable, and accrued liabilities approximate fair value due to their short maturities. Marketable securities and derivative instruments are stated at their estimated fair values, based on quoted market prices for the same or similar instruments. The counterparties to the agreements relating to the Company’s investment securities and derivative instruments consist of various major corporations, financial institutions, and government agencies of high credit standing.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accounts receivable are primarily derived from billings related to revenue arrangements with customers and distributors located throughout the world. The Company performs credit evaluations of its customers’ financial condition and, generally, requires no collateral from its customers. The Company provides reserves for potential credit losses but has not experienced significant losses to date. As of December 31, 2025, and 2024, 65% and 66%, respectively, of accounts receivable were from domestic customers.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domestic revenue accounted for 68%, 67%, and 66% of total revenue, respectively, while outside of the U.S. (“OUS”) revenue accounted for 32%, 33%, and 34% of total revenue, respectively, for each of the years then ended.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future results of operations and liquidity could be materially adversely affected by uncertainties surrounding macroeconomic and geopolitical factors in both the U.S. and globally. These uncertainties include any introduction or modification of tariffs or trade barriers, inflationary pressures, elevated interest rates, disruptions in commodity markets stemming from conflicts, such as those between Russia and Ukraine and conflicts in the Middle East, and supply chain challenges.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Recent tariff changes imposed by the U.S. and other countries have created increased risks and uncertainties surrounding the Company’s future results of operations. The U.S. import tariffs, along with any reciprocal measures by other countries, are expected to continue to increase the Company’s cost of raw materials and finished goods imported from outside of the U.S. Additionally, the Company anticipates that some of its suppliers will incur incremental tariff-related costs, which may be passed on to the Company. The ultimate impact of changes to tariffs or trade barriers will depend on various factors, including the timing, amount, scope, and nature of any tariffs or trade barriers that are implemented.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 final maturity from the date of purchase of 90 days or less to be cash equivalents. Amounts included in restricted cash primarily relate to the Company’s insurance programs and certain employee-related benefits.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Available-for-sale debt securities.</w:t>
      </w:r>
      <w:r>
        <w:rPr>
          <w:color w:val="000000"/>
        </w:rPr>
        <w:t xml:space="preserve"> </w:t>
      </w:r>
      <w:r>
        <w:rPr>
          <w:rFonts w:ascii="Times New Roman;serif" w:hAnsi="Times New Roman;serif"/>
          <w:b w:val="false"/>
          <w:color w:val="000000"/>
          <w:sz w:val="20"/>
        </w:rPr>
        <w:t>The Company’s investments may consist of money market funds, U.S. treasury and U.S. government agency securities, high-quality corporate notes and bonds, commercial paper, non-U.S. government agency securities, and taxable and tax-exempt municipal notes. The Company has designated all investments as available-for-sale and, therefore, the investments are subject to periodic impairment under the available-for-sale debt security impairment model. Available-for-sale debt securities in an unrealized loss position are written down to fair value through a charge to interest and other income, net, if the Company intends to sell the security or it is more likely than not the Company will be required to sell the security before recovery of its amortized cost basis. The Company evaluates the remaining securities to determine what amount of the excess, if any, is caused by expected credit losses. A decline in fair value attributable to expected credit losses is recorded to interest and other income, net, while any portion of the loss related to non-credit factors is recorded in accumulated other comprehensive income (loss). For securities sold prior to maturity, the cost of the securities sold is based on the specific identification method. Realized gains and losses on the sale of investments are recorded in interest and other income, net in the Consolidated Statements of Income. Investments with remaining maturities at the date of purchase greater than 90 days and remaining maturities as of the reporting period of less than one year are classified as short-term investments. Investments with remaining maturities greater than one year are classified as long-term investments.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Equity investments. </w:t>
      </w:r>
      <w:r>
        <w:rPr>
          <w:rFonts w:ascii="Times New Roman;serif" w:hAnsi="Times New Roman;serif"/>
          <w:b w:val="false"/>
          <w:color w:val="000000"/>
          <w:sz w:val="20"/>
        </w:rPr>
        <w:t>From time to time, the Company holds equity investments with readily determinable fair values and equity investments without readily determinable fair values. The Company recognizes equity investments with readily determinable fair values at the quoted market price with changes in value recorded in interest and other income, net. The Company generally recognizes equity investments that do not have readily determinable fair values at cost minus impairment, if any, plus or minus changes resulting from observable price changes in orderly transactions for the identical or a similar investment of the same issuer with changes in value recorded in interest and other income, net.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measures the fair value of money market funds, U.S. treasury securities, and equity investments with readily determinable value based on quoted prices in active markets for identical assets as Level 1 securities. Marketable securities measured at fair value using Level 2 inputs are, or have been, primarily comprised of commercial paper, corporate notes and bonds, U.S. and non-U.S. government agencies, and municipal notes. The Company reviews trading activity and pricing for these investments as of the measurement date. When sufficient quoted pricing for identical securities is not available, the Company uses market pricing and other observable market inputs for similar securities obtained from various third-party data providers. These inputs either represent quoted prices for similar assets in active markets or have been derived from observable market data. This approach results in the Level 2 classification of these securities within the fair value hierarchy.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Inventory is stated at the lower of cost or net realizable value on a first-in, first-out basis. Inventory costs include direct materials, direct labor, and normal manufacturing overhead. The cost basis of the Company’s inventory is reduced for any products that are considered excessive or obsolete based upon assumptions about future demand and market conditions. Additionally, the cost basis of the Company’s inventory does not include any unallocated fixed overhead costs associated with abnormally low utilization of its factories.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are stated at cost, net of accumulated depreciation. Depreciation is computed on a straight-line basis over the estimated useful lives of the assets, down to the estimated salvage value, if any. The salvage value of operating lease assets is estimated based on a number of factors including, but not limited to, the lease term, technological obsolescence, and the expected future demand for refurbished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is recognized over the following estimated useful lives:</w:t>
      </w:r>
    </w:p>
    <w:tbl>
      <w:tblPr>
        <w:tblW w:w="5533" w:type="dxa"/>
        <w:jc w:val="left"/>
        <w:tblInd w:w="0" w:type="dxa"/>
        <w:tblLayout w:type="fixed"/>
        <w:tblCellMar>
          <w:top w:w="28" w:type="dxa"/>
          <w:left w:w="28" w:type="dxa"/>
          <w:bottom w:w="28" w:type="dxa"/>
          <w:right w:w="28" w:type="dxa"/>
        </w:tblCellMar>
      </w:tblPr>
      <w:tblGrid>
        <w:gridCol w:w="978"/>
        <w:gridCol w:w="856"/>
        <w:gridCol w:w="865"/>
        <w:gridCol w:w="829"/>
        <w:gridCol w:w="829"/>
        <w:gridCol w:w="1176"/>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Useful Lives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w:t>
            </w:r>
          </w:p>
        </w:tc>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30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improvements</w:t>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15 years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Up to 15 years</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and furniture</w:t>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years </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 to 7 years</w:t>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to 5 years </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Enterprise-wide software</w:t>
            </w:r>
          </w:p>
        </w:tc>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to 8 years </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Lesser of 3 years or life of license</w:t>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283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years ended December 31, 2025, 2024, and 2023, was $600 million, $439 million, and $382 million, respectively.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Capitalized Software Costs for Internal Use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capitalizes direct costs associated with developing or obtaining internal use software, including enterprise-wide business software, which are incurred during the application development stage. These capitalized costs are recorded as capitalized software within property, plant, and equipment. Costs related to preliminary project activities and post-implementation activities are expensed as incurred. Once the software is ready for its intended use, amounts capitalized are amortized over an estimated useful life of up to 8 years on a straight-line basis.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Implementation Costs in a Cloud Computing Arrangement </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capitalizes qualified implementation costs incurred in a hosting arrangement that is a service contract for which it is the customer in accordance with the requirements for capitalizing costs incurred to develop internal-use software. These capitalized implementation costs are recorded within intangible and other assets, net, and are generally amortized over the fixed, non-cancellable term of the associated hosting arrangement on a straight-line basis. The following table summarizes implementation costs in cloud computing arrangements as of the periods presented (in millions):</w:t>
      </w:r>
    </w:p>
    <w:tbl>
      <w:tblPr>
        <w:tblW w:w="8079" w:type="dxa"/>
        <w:jc w:val="left"/>
        <w:tblInd w:w="0" w:type="dxa"/>
        <w:tblLayout w:type="fixed"/>
        <w:tblCellMar>
          <w:top w:w="28" w:type="dxa"/>
          <w:left w:w="28" w:type="dxa"/>
          <w:bottom w:w="28" w:type="dxa"/>
          <w:right w:w="28" w:type="dxa"/>
        </w:tblCellMar>
      </w:tblPr>
      <w:tblGrid>
        <w:gridCol w:w="2189"/>
        <w:gridCol w:w="1924"/>
        <w:gridCol w:w="1932"/>
        <w:gridCol w:w="211"/>
        <w:gridCol w:w="511"/>
        <w:gridCol w:w="109"/>
        <w:gridCol w:w="109"/>
        <w:gridCol w:w="109"/>
        <w:gridCol w:w="109"/>
        <w:gridCol w:w="211"/>
        <w:gridCol w:w="511"/>
        <w:gridCol w:w="154"/>
      </w:tblGrid>
      <w:tr>
        <w:trPr/>
        <w:tc>
          <w:tcPr>
            <w:tcW w:w="218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implementation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capitalized implementation costs in intangible and other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recognized $11.9 million, $10.8 million, and $10.2 million of amortization expense associated with capitalized implementation costs, respectively.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accounts for business acquisitions in accordance with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This standard requires the acquiring entity in a business combination to recognize the assets acquired, liabilities assumed, and any noncontrolling interest in the acquiree using acquisition-date fair values. Certain provisions of this standard prescribe, among other things, the determination of acquisition-date fair value of consideration paid in a business combination, including contingent consideration. The excess of the acquisition-date fair value of consideration paid over the fair values of the identifiable assets and liabilities is recorded as goodwill. Acquisition-related costs are recognized separately from the business combination and are expensed as incurred. The Company includes the results of operations of the businesses that are acquired as of the acquisition date.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and intangible assets with indefinite useful lives are not amortized but are tested for impairment at least annually during the fourth quarter, or if circumstances indicate their value may no longer be recoverable. Goodwill represents the excess of the purchase price over the fair value of net identifiable assets and liabilities. The Company continues to operate in one segment, which is considered to be the sole reporting unit and, therefore, goodwill was tested for impairment at the enterprise level.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are carried at cost, net of accumulated amortization. Amortization is recorded on a straight-line basis over the intangible assets’ useful lives, which range from approximately 1 to 8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long-lived assets, which include finite-lived intangible and tangible assets, for impairment whenever events or changes in circumstances indicate that the carrying value of long-lived assets may not be recoverable. Recoverability is measured by comparing the net book value to the future undiscounted cash flows attributable to such assets. The Company recognizes an impairment charge equal to the amount by which the net book value exceeds its fair value. No material impairment losses were incurred in the periods presented.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revenue consists of product revenue, resulting from the sale of systems, system components, and instruments and accessories, and service revenue. The Company accounts for a contract with a customer when there is a legally enforceable contract between the Company and its customer, the rights of the parties are identified, the contract has commercial substance, and the collectability of the contract consideration is probable. The Company’s revenues are measured based on the consideration specified in the contract with each customer, net of any sales incentives and taxes collected from customers that are remitted to government authorities.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system sale arrangements generally contain multiple products and services. For these bundled sale arrangements, the Company accounts for individual products and services as separate performance obligations if they are a distinct product or service that is separately identifiable from other items in bundled packages and if a customer can benefit from the product or service on its own or with other resources that are readily available to the customer. The Company’s system sale arrangements include a combination of the following performance obligations: system(s); system components; system accessories; instruments; accessories; and system service. The Company’s system sale arrangements generally include a five-year period of service. The first year of service is generally included in the system sale arrangement for no additional consideration, and the remaining four years of service are priced separately. The Company considers the service terms in the arrangements that are legally enforceable to be performance obligations. Other than service, the Company generally satisfies all of the performance obligations at a point in time. System components, system accessories, instruments, accessories, and service are also sold on a stand-alone basis.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 Company estimates the standalone selling price considering market conditions and entity-specific factors including, but not limited to, historical pricing data, features and functionality of the products and services, geographies, and type of customer. The Company regularly reviews standalone selling prices and updates these estimates, as necessary.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as the performance obligations are satisfied by transferring control of the product or service to a customer. The Company generally recognizes revenue for the performance obligations in the following manner:</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System sales.</w:t>
      </w:r>
      <w:r>
        <w:rPr>
          <w:color w:val="000000"/>
        </w:rPr>
        <w:t xml:space="preserve"> </w:t>
      </w:r>
      <w:r>
        <w:rPr>
          <w:rFonts w:ascii="Times New Roman;serif" w:hAnsi="Times New Roman;serif"/>
          <w:b w:val="false"/>
          <w:color w:val="000000"/>
          <w:sz w:val="20"/>
        </w:rPr>
        <w:t xml:space="preserve">For systems (including system components and system accessories) sold directly to end customers, revenue is recognized when the Company transfers control to the customer, which is generally at the point when acceptance occurs that indicates customer acknowledgment of delivery or installation, depending on the terms of the arrangement. For systems sold through distributors, revenue is recognized generally at the time of shipment. The Company’s system arrangements generally do not provide a right of return. The systems are generally covered by a one-year warranty, which is accounted for as a single performance obligation with the first year of service. </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Instruments and accessories.</w:t>
      </w:r>
      <w:r>
        <w:rPr>
          <w:color w:val="000000"/>
        </w:rPr>
        <w:t xml:space="preserve"> </w:t>
      </w:r>
      <w:r>
        <w:rPr>
          <w:rFonts w:ascii="Times New Roman;serif" w:hAnsi="Times New Roman;serif"/>
          <w:b w:val="false"/>
          <w:color w:val="000000"/>
          <w:sz w:val="20"/>
        </w:rPr>
        <w:t>Revenue from sales of instruments and accessories is recognized when control is transferred to the customers, which generally occurs at the time of shipment but could also occur at the time of delivery, depending on the customer arrangement. The Company generally allows its customers to return unused products for a limited period of time subsequent to the initial purchase in the normal course of business and records an allowance against revenue for estimated returns.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Service.</w:t>
      </w:r>
      <w:r>
        <w:rPr>
          <w:color w:val="000000"/>
        </w:rPr>
        <w:t xml:space="preserve"> </w:t>
      </w:r>
      <w:r>
        <w:rPr>
          <w:rFonts w:ascii="Times New Roman;serif" w:hAnsi="Times New Roman;serif"/>
          <w:b w:val="false"/>
          <w:color w:val="000000"/>
          <w:sz w:val="20"/>
        </w:rPr>
        <w:t>Service revenue is recognized over the term of the service period, as the customer benefits from the services throughout the service period. Revenue related to services performed on a time-and-materials basis is recognized when performed.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Transactions involving system trade-ins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can negotiate to trade in their older systems for a credit towards the purchase of a newer generation system. Such trade-in transactions are generally not based on any pre-existing rights granted by the Company and are generally negotiated separately based on the circumstances at the time of the trade-in and based on the then-fair value of the underlying system. Accordingly, such trade-ins are generally not considered separate performance obligations.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When a specified-price trade-in right is granted at the time of a system purchase, it generally provides for a trade-in credit that requires the customer to enter into a new purchase agreement to exercise that right. The Company accounts for such rights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 a guarantee and reduces the total consideration by the fair value of that guarantee. The remaining consideration is allocated to each performance obligation based on their relative fair value. As of December 31, 2025, and 2024, the liability recognized for these guarantees was not material.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Traded-in systems can generally be reconditioned and resold. The Company accounts for the fair value of the traded-in system as additional consideration. When there is no market for the traded-in system, no value is assigned. The value of the traded-in system is reported as a component of inventory until resold.</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Purchases of system components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Customers have the opportunity to add additional features to their systems at a price that is separately negotiated, for example, by adding a second surgeon console for use with the da Vinci surgical system. Revenue is recognized when the component level features have been provided and all revenue recognition criteria are met.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Assets Recognized from the Cost to Obtain a Contract with a Customer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determined that certain sales incentives provided to the Company’s sales team are required to be capitalized when the Company expects to generate future economic benefits from the related revenue-generating contracts subsequent to the initial sales transaction. Capitalized contract acquisition costs are recorded within intangible and other assets, net and are amortized on a systematic basis based on the timing of when the Company expects to earn the related revenue. The sales incentives allocated to system sales and sales-type leases are expensed upon the transfer of control of the systems, and the amounts allocated to service and system operating leases are amortized over their economic life on a straight-line basis. When determining the economic life of the contract acquisition assets recognized, the Company considers historical contract renewal rates, expectations of future contract renewals, and other factors that could impact the economic benefits that the Company expects to generate from that arrangement. The amounts capitalized as contract acquisition costs were $130 million and $111 million as of December 31, 2025, and 2024,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the Company recognized $38.0 million, $37.7 million, and $33.0 million of amortization expense associated with contract acquisition assets, respectively. The Company did not incur any impairment losses during the periods presented.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Intuitive System Leasing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lease arrangements with certain qualified customers. Leases have terms that generally range from 12 to 84 months and are usually collateralized by a security interest in the underlying assets. The Company also leases systems to certain qualified customers under usage-based arrangements that have terms of up to 84 months. For these usage-based lease arrangements, the lease fee is generally billed monthly in arrears based on a contractual per-use fee where usage is generally defined as the number of procedures performed with the system.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related to multiple-element arrangements are allocated to lease and non-lease elements based on their relative standalone selling prices as prescribed by the Company’s revenue recognition policy. Lease elements generally include a system or system component, while non-lease elements generally include service. For some lease arrangements, customers are provided with the right to purchase the leased system at some point during and/or at the end of the lease term. Except for usage-based lease arrangements, lease arrangements generally do not provide rights for the customers to exit or terminate the lease without incurring a penalty. Certain lease arrangements may also include upgrade rights that allow customers to upgrade the leased system to newer technology at some point during the lease term. Generally, these upgrade rights do not specify the terms, including the price or structure of the future upgrade transactions and are subject to negotiation and mutual agreement of terms based on the circumstances at the time of the upgrade, including the then-fair value of the system as well as other factors. System upgrade transactions generally will result in a modification of the existing lease. The Company accounts for lease modifications at the time a new or amended contract is executed.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determining whether a transaction should be classified as a sales-type or operating lease (whether fixed-payment or usage-based), the Company considers the following terms at lease commencement: (1) whether title of the system transfers automatically or for a nominal fee by the end of the lease term; (2) whether the present value of the minimum lease payments equals or exceeds substantially all of the fair value of the leased system; (3) whether the lease term is for the major part of the remaining economic life of the leased system; and (4) whether the lease grants the lessee an option to purchase the leased system that the lessee is reasonably certain to exercise.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generally recognizes revenue from sales-type lease arrangements at the time the system is accepted by the customer, assuming all other revenue recognition criteria have been met. Revenue related to lease elements from sales-type leases is presented as product revenue. Revenue related to lease elements from fixed-payment operating lease arrangements is generally recognized on a straight-line basis over the lease term and is presented as product revenue. Revenue related to lease elements from usage-based arrangements is recognized as the customers utilize the systems and is presented as product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require customers to pay for the property taxes that are due on leased systems. The amounts invoiced to customers for property taxes are considered variable lease payments and are included in product revenue. Amounts related to property taxes were not material in any of the periods presented.</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Leasing Arrangements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contains a lease at inception. For arrangements where the Company is the lessee, operating leases are included in intangible and other assets, net, other accrued liabilities, and other long-term liabilities on the Consolidated Balance Sheet. The Company currently does not have any finance leases.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right-of-use (“ROU”) assets and operating lease liabilities are recognized based on the present value of the future minimum lease payments over the lease term at the commencement date. ROU assets also include any initial direct costs incurred and any lease payments made at or before the lease commencement date, less lease incentives received. The Company uses its incremental borrowing rate based on the information available at the commencement date in determining the lease liabilities, as the Company does not have insight into the inputs necessary to calculate the implicit rate of the leases. Lease terms may include options to extend or terminate when the Company is reasonably certain the option will be exercised. Lease expense is recognized on a straight-line basis over the lease term.</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also has lease arrangements with lease and non-lease components. The Company elected the practical expedient not to separate non-lease components from lease components for the Company’s real estate and automobile leases. Additionally, the Company applied a portfolio approach to effectively account for the operating lease ROU assets and lease liabilities for the Company’s automobile leases. The Company also elected to apply the short-term lease measurement and recognition exemption in which ROU assets and lease liabilities are not recognized for leases with terms of 12 months or less.</w:t>
      </w:r>
    </w:p>
    <w:p>
      <w:pPr>
        <w:pStyle w:val="TextBody"/>
        <w:bidi w:val="0"/>
        <w:spacing w:lineRule="auto" w:line="288" w:before="60" w:after="120"/>
        <w:jc w:val="both"/>
        <w:rPr>
          <w:rFonts w:ascii="Times New Roman;serif" w:hAnsi="Times New Roman;serif"/>
          <w:b/>
          <w:i/>
          <w:color w:val="000000"/>
          <w:sz w:val="20"/>
        </w:rPr>
      </w:pPr>
      <w:r>
        <w:rPr>
          <w:rFonts w:ascii="Times New Roman;serif" w:hAnsi="Times New Roman;serif"/>
          <w:b/>
          <w:i/>
          <w:color w:val="000000"/>
          <w:sz w:val="20"/>
        </w:rPr>
        <w:t>Credit Losses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Trade accounts receivable.</w:t>
      </w:r>
      <w:r>
        <w:rPr>
          <w:color w:val="000000"/>
        </w:rPr>
        <w:t xml:space="preserve"> </w:t>
      </w:r>
      <w:r>
        <w:rPr>
          <w:rFonts w:ascii="Times New Roman;serif" w:hAnsi="Times New Roman;serif"/>
          <w:b w:val="false"/>
          <w:color w:val="000000"/>
          <w:sz w:val="20"/>
        </w:rPr>
        <w:t>The allowance for doubtful accounts is based on the Company’s assessment of the collectibility of customer accounts. The Company regularly reviews the allowance by considering factors such as historical experience, credit quality, age of the accounts receivable balances, and current economic conditions that may affect a customer’s ability to pay. For the years ended December 31, 2025, and 2024, bad debt expense was not material.</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Net investment in sales-type leases.</w:t>
      </w:r>
      <w:r>
        <w:rPr>
          <w:color w:val="000000"/>
        </w:rPr>
        <w:t xml:space="preserve"> </w:t>
      </w:r>
      <w:r>
        <w:rPr>
          <w:rFonts w:ascii="Times New Roman;serif" w:hAnsi="Times New Roman;serif"/>
          <w:b w:val="false"/>
          <w:color w:val="000000"/>
          <w:sz w:val="20"/>
        </w:rPr>
        <w:t>The Company enters into sales-type leases with certain qualified customers to purchase its systems. Sales-type leases have terms that generally range from 24 to 84 months and are usually collateralized by a security interest in the underlying assets. The allowance for loan loss is based on the Company’s assessment of the current expected lifetime loss on lease receivables. The Company regularly reviews the allowance by considering factors such as historical experience, credit quality, age of the lease receivable balances, and current economic conditions that may affect a customer’s ability to pay. Lease receivables are considered past due 90 days after the due date of the invoice.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manages the credit risk of the net investment in sales-type leases using a number of factors relating to our customers, including, but not limited to, the following: size of operations; profitability, liquidity, and debt ratios; payment history; and past due amounts. The Company also uses credit scores obtained from external providers as a key indicator for the purposes of determining credit quality. The following table summarizes the amortized cost basis by year of origination and by credit quality for the net investment in sales-type leases as of December 31, 2025 (in millions):</w:t>
      </w:r>
    </w:p>
    <w:tbl>
      <w:tblPr>
        <w:tblW w:w="9726" w:type="dxa"/>
        <w:jc w:val="left"/>
        <w:tblInd w:w="0" w:type="dxa"/>
        <w:tblLayout w:type="fixed"/>
        <w:tblCellMar>
          <w:top w:w="28" w:type="dxa"/>
          <w:left w:w="28" w:type="dxa"/>
          <w:bottom w:w="28" w:type="dxa"/>
          <w:right w:w="28" w:type="dxa"/>
        </w:tblCellMar>
      </w:tblPr>
      <w:tblGrid>
        <w:gridCol w:w="483"/>
        <w:gridCol w:w="425"/>
        <w:gridCol w:w="427"/>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109"/>
        <w:gridCol w:w="211"/>
        <w:gridCol w:w="406"/>
        <w:gridCol w:w="109"/>
        <w:gridCol w:w="109"/>
        <w:gridCol w:w="109"/>
        <w:gridCol w:w="109"/>
        <w:gridCol w:w="286"/>
        <w:gridCol w:w="838"/>
        <w:gridCol w:w="210"/>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Investment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 Rating:</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High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Low</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and 2024, credit losses related to the net investment in sales-type leases were not material.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exposure to credit losses may increase if its customers are adversely affected by changes in healthcare laws, procedure coverage, and reimbursement, economic pressures or uncertainty associated with local or global economic recessions, or other customer-specific factors. Although the Company has historically not experienced significant credit losses, it is possible that there could be a material adverse impact from potential adjustments of the carrying amount of trade and lease receivables as hospital cash flows are impacted by macroeconomic factors, including inflation, high interest rates, and staffing constraints.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360"/>
        <w:jc w:val="both"/>
        <w:rPr/>
      </w:pPr>
      <w:r>
        <w:rPr>
          <w:rFonts w:ascii="Times New Roman;serif" w:hAnsi="Times New Roman;serif"/>
          <w:b w:val="false"/>
          <w:i/>
          <w:color w:val="000000"/>
          <w:sz w:val="20"/>
        </w:rPr>
        <w:t>Available-for-sale debt securities.</w:t>
      </w:r>
      <w:r>
        <w:rPr>
          <w:color w:val="000000"/>
        </w:rPr>
        <w:t xml:space="preserve"> </w:t>
      </w:r>
      <w:r>
        <w:rPr>
          <w:rFonts w:ascii="Times New Roman;serif" w:hAnsi="Times New Roman;serif"/>
          <w:b w:val="false"/>
          <w:color w:val="000000"/>
          <w:sz w:val="20"/>
        </w:rPr>
        <w:t>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 agency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 For the years ended December 31, 2025, and 2024, credit losses related to available-for-sale debt securities were not material.</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Allowance for Sales Returns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allowance for sales returns is based on the Company’s estimates of potential future returns of certain products related to current period product revenue. The Company analyzes historical returns, current economic trends, and changes in customer demand and acceptance of the Company’s products.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grants long-term equity awards under its stock-based compensation plans to certain employees and non-employee directors of the Company. These awards include restricted stock units, stock options, and performance stock units. The Company’s share-based compensation cost is measured at the grant date, based on the fair value of the award, and is recognized as expense on a straight-line basis over the requisite service period. The Company estimates expected forfeitures at the time of grant and revises the estimate, if necessary, in subsequent periods if actual forfeitures differ from those estimated.</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Restricted stock units</w:t>
      </w:r>
      <w:r>
        <w:rPr>
          <w:rFonts w:ascii="Times New Roman;serif" w:hAnsi="Times New Roman;serif"/>
          <w:b w:val="false"/>
          <w:color w:val="000000"/>
          <w:sz w:val="20"/>
        </w:rPr>
        <w:t>. The fair value of restricted stock units (“RSUs”) is determined based on the closing quoted price of the Company’s common stock on the date of the grant.</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Stock options.</w:t>
      </w:r>
      <w:r>
        <w:rPr>
          <w:color w:val="000000"/>
        </w:rPr>
        <w:t xml:space="preserve"> </w:t>
      </w:r>
      <w:r>
        <w:rPr>
          <w:rFonts w:ascii="Times New Roman;serif" w:hAnsi="Times New Roman;serif"/>
          <w:b w:val="false"/>
          <w:color w:val="000000"/>
          <w:sz w:val="20"/>
        </w:rPr>
        <w:t>The Black-Scholes-Merton option-pricing model is used to estimate the fair value of stock options granted and utilizes the following inputs: (1) closing quoted price of the Company’s common stock on the date of grant; (2) expected term; (3) expected volatility; and (4) risk-free interest rate.</w:t>
      </w:r>
    </w:p>
    <w:p>
      <w:pPr>
        <w:pStyle w:val="TextBody"/>
        <w:bidi w:val="0"/>
        <w:spacing w:lineRule="auto" w:line="288" w:before="0" w:after="120"/>
        <w:jc w:val="both"/>
        <w:rPr/>
      </w:pPr>
      <w:r>
        <w:rPr>
          <w:rFonts w:ascii="Times New Roman;serif" w:hAnsi="Times New Roman;serif"/>
          <w:b w:val="false"/>
          <w:i/>
          <w:color w:val="000000"/>
          <w:sz w:val="20"/>
        </w:rPr>
        <w:t xml:space="preserve">Expected Term: </w:t>
      </w:r>
      <w:r>
        <w:rPr>
          <w:rFonts w:ascii="Times New Roman;serif" w:hAnsi="Times New Roman;serif"/>
          <w:b w:val="false"/>
          <w:color w:val="000000"/>
          <w:sz w:val="20"/>
        </w:rPr>
        <w:t>The expected term represents the weighted-average period that the stock options are expected to be outstanding prior to being exercised. The Company determines expected term based on historical exercise patterns and its expectation of the time that it will take for employees to exercise options still outstanding.</w:t>
      </w:r>
    </w:p>
    <w:p>
      <w:pPr>
        <w:pStyle w:val="TextBody"/>
        <w:bidi w:val="0"/>
        <w:spacing w:lineRule="auto" w:line="288" w:before="0" w:after="120"/>
        <w:jc w:val="both"/>
        <w:rPr/>
      </w:pPr>
      <w:r>
        <w:rPr>
          <w:rFonts w:ascii="Times New Roman;serif" w:hAnsi="Times New Roman;serif"/>
          <w:b w:val="false"/>
          <w:i/>
          <w:color w:val="000000"/>
          <w:sz w:val="20"/>
        </w:rPr>
        <w:t>Expected Volatility:</w:t>
      </w:r>
      <w:r>
        <w:rPr>
          <w:color w:val="000000"/>
        </w:rPr>
        <w:t xml:space="preserve"> </w:t>
      </w:r>
      <w:r>
        <w:rPr>
          <w:rFonts w:ascii="Times New Roman;serif" w:hAnsi="Times New Roman;serif"/>
          <w:b w:val="false"/>
          <w:color w:val="000000"/>
          <w:sz w:val="20"/>
        </w:rPr>
        <w:t xml:space="preserve">The Company uses market-based implied volatility for purposes of valuing stock options granted. Market-based implied volatility is derived based on actively traded options with expirations greater than </w:t>
      </w:r>
      <w:r>
        <w:rPr>
          <w:rFonts w:ascii="Times New Roman;serif" w:hAnsi="Times New Roman;serif"/>
          <w:b w:val="false"/>
          <w:color w:val="000000"/>
          <w:sz w:val="20"/>
          <w:shd w:fill="FFFFFF" w:val="clear"/>
        </w:rPr>
        <w:t>one</w:t>
      </w:r>
      <w:r>
        <w:rPr>
          <w:color w:val="000000"/>
        </w:rPr>
        <w:t xml:space="preserve"> </w:t>
      </w:r>
      <w:r>
        <w:rPr>
          <w:rFonts w:ascii="Times New Roman;serif" w:hAnsi="Times New Roman;serif"/>
          <w:b w:val="false"/>
          <w:color w:val="000000"/>
          <w:sz w:val="20"/>
        </w:rPr>
        <w:t>year on the Company’s common stock. The extent to which the Company relies on market-based volatility when valuing options depends, among other things, on the availability of traded options on the Company’s stock and the term of such options. Due to a sufficient volume of traded options, the Company used 100% market-based implied volatility to value options granted, which the Company believes is more representative of future stock price trends than historical volatility.</w:t>
      </w:r>
    </w:p>
    <w:p>
      <w:pPr>
        <w:pStyle w:val="TextBody"/>
        <w:bidi w:val="0"/>
        <w:spacing w:lineRule="auto" w:line="288" w:before="0" w:after="120"/>
        <w:jc w:val="both"/>
        <w:rPr/>
      </w:pPr>
      <w:r>
        <w:rPr>
          <w:rFonts w:ascii="Times New Roman;serif" w:hAnsi="Times New Roman;serif"/>
          <w:b w:val="false"/>
          <w:i/>
          <w:color w:val="000000"/>
          <w:sz w:val="20"/>
        </w:rPr>
        <w:t xml:space="preserve">Risk-Free Interest Rate: </w:t>
      </w:r>
      <w:r>
        <w:rPr>
          <w:rFonts w:ascii="Times New Roman;serif" w:hAnsi="Times New Roman;serif"/>
          <w:b w:val="false"/>
          <w:color w:val="000000"/>
          <w:sz w:val="20"/>
        </w:rPr>
        <w:t>The risk-free interest rate is based on the U.S. treasury yield curve in effect at the time of grant for the expected term of the stock option.</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Performance stock units</w:t>
      </w:r>
      <w:r>
        <w:rPr>
          <w:rFonts w:ascii="Times New Roman;serif" w:hAnsi="Times New Roman;serif"/>
          <w:b w:val="false"/>
          <w:color w:val="000000"/>
          <w:sz w:val="20"/>
        </w:rPr>
        <w:t>. Performance stock units (“PSUs”) include predefined performance and market conditions. The fair value of performance stock units with performance conditions is based on the closing quoted price of the Company’s common stock on the date of the grant. The Company estimates the number of awards with performance conditions that will ultimately vest based on the probability of achievement each quarter to determine the amount of compensation expense to recognize each reporting period. The fair value of performance stock units that include a market condition is determined using a Monte Carlo simulation model.</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Employee stock purchase plan</w:t>
      </w:r>
      <w:r>
        <w:rPr>
          <w:rFonts w:ascii="Times New Roman;serif" w:hAnsi="Times New Roman;serif"/>
          <w:b w:val="false"/>
          <w:color w:val="000000"/>
          <w:sz w:val="20"/>
        </w:rPr>
        <w:t>. The fair value of shares to be issued under the Company’s Employee Stock Purchase Plan (the “ESPP”) is computed using the Black-Scholes-Merton option-pricing model at the commencement of an offering period in February and August of each year utilizing the following inputs: (1) closing quoted price of the Company’s common stock on the initial date of the offering period; (2) expected term; (3) expected volatility; and (4) risk-free interest rate. Share-based compensation for the ESPP is recognized as expense on a straight-line basis over the two-year offering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10. Share-Based Compensation” for a detailed discussion of the Company’s stock plans and 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Computation of Net Income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net income per share attributable to Intuitive Surgical, Inc. is computed using the weighted-average number of shares outstanding during the period. Diluted net income per share attributable to Intuitive Surgical, Inc. is computed using the weighted-average number of the Company’s shares and dilutive potential shares outstanding during the period. Dilutive potential shares primarily consist of RSUs, stock options, PSUs, and shares to be purchased by employees under the ESPP.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Employee equity share options, non-vested shares, and similar equity instruments granted by the Company are treated as potential common shares outstanding in computing diluted earnings per share. Diluted shares outstanding include the dilutive effect of equity awards, which is calculated based on the average share price for each fiscal period using the treasury stock method. Under the treasury stock method, the amount the employee must pay for exercising stock options and the amount of compensation cost for future service that the Company has not yet recognized are assumed to be used to repurchase shares.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expensed as incurred and include amortization of intangible assets, costs associated with co-development research and development licensing arrangements, costs of prototypes, salaries, benefits and other headcount-related costs, contract and other outside service fees, and facilities and overhead costs.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Foreign Currency and Other Hedging Instruments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subsidiaries whose local currency is their functional currency, their assets and liabilities are translated into U.S. dollars at exchange rates at the balance sheet date, and revenues and expenses are translated using exchange rates in effect during the period. Gains and losses from foreign currency translation are included in accumulated other comprehensive income (loss) within stockholders’ equity in the Consolidated Balance Sheets. For all non-functional currency monetary account balances, the re-measurement of such balances to the functional currency results in either a foreign exchange gain or loss, which is recorded to interest and other income, net in the Consolidated Statements of Income in the same accounting period that the re-measurement occurred.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derivatives to partially offset its business exposure to foreign currency exchange risk. The terms of the Company’s derivative contracts are generally thirteen months or shorter. The Company typically hedges portions of its forecasted foreign currency exposure associated with revenue and expenses. The Company may also enter into foreign currency forward contracts to offset the foreign currency exchange gains and losses generated by the re-measurement of certain assets and liabilities denominated in non-functional currencies. The hedging program is not designated for trading or speculative purposes.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policies for these instruments are based on whether the instruments are designated as hedging or non-hedging instruments. The Company records all derivatives on the Consolidated Balance Sheets at fair value. The effective portions of cash flow hedges are recorded in other comprehensive income (loss) (“OCI”) until the hedged item is recognized in earnings. Derivative instruments designated as cash flow hedges are de-designated as hedges when it is probable that the forecasted hedged transaction will not occur in the initially identified time period or within a subsequent two-month time period. Gains and losses in OCI associated with such derivative instruments are reclassified immediately into earnings through interest and other income, net. Any subsequent changes in the fair value of such derivative instruments also are reflected in current earnings. Derivatives that are not designated as hedging instruments and the ineffective portions of cash flow hedges are adjusted to fair value through earnings in interest and other income, net.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income taxes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income in the period that includes the enactment date. Valuation allowances are established or adjusted, as necessary, to reflect the amount of deferred tax assets that are more likely than not to be realized in the future.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tax benefits from uncertain tax positions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upon ultimate settlement. The Company includes interest and penalties on unrecognized tax benefits as a component of its income tax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excess tax benefits and tax deficiencies in the provision for income taxes as discrete items in the period when the awards vest or are settled. The Company accounts for Global Intangible Low-Taxed Income (“GILTI”) as period costs when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legal proceedings involving product liability, intellectual property, shareholder derivative actions, securities class actions, employees, and other matters. A liability and related charge are recorded to earnings in the Company’s Consolidated Financial Statements for legal contingencies when the loss is considered probable and the amount can be reasonably estimated. The assessment is re-evaluated each period and is based on all available information, including discussion with any outside legal counsel that represents the Company. If a reasonable estimate of a known or probable loss cannot be made, but a range of probable losses can be estimated, the low-end of the range of losses is recognized if no amount within the range is a better estimate than any other. If a material loss is reasonably possible but not probable and can be reasonably estimated, the estimated loss or range of loss is disclosed in the Notes to the Consolidated Financial Statements. The Company expenses legal fees as incurred.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determining the estimated probable loss or range of losses, significant judgment is required to be exercised in order to estimate the amount and timing of the loss to be recorded. Estimates of probable losses resulting from litigation are inherently difficult to make, particularly when the matters are in early procedural stages with incomplete facts and information. The final outcome of legal proceedings is dependent on many variables that are difficult to predict and, therefore, the ultimate cost to entirely resolve such matters may be materially different than the amount of current estimates. Consequently, new information or changes in judgments and estimates could have a material adverse effect on the Company’s business, financial condition, and results of operations or cash flows.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(“ASU 2023-09”), which requires enhanced income tax disclosures, including specific categories and disaggregation of information in the effective tax rate reconciliation, disaggregated information related to income taxes paid, income or loss from continuing operations before income tax expense or benefit, and income tax expense or benefit from continuing operations. The Company adopted ASU 2023-09 during the fourth quarter of 2025 on a prospective basis. The standard did not have a material impact on the Company’s Financial Statements. Refer to Note 11 for more information.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its related disclosures.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Intangibles—Goodwill and Other—Internal-Use Software (Subtopic 350-40): Targeted Improvements to the Accounting for Internal-Use Software </w:t>
      </w:r>
      <w:r>
        <w:rPr>
          <w:rFonts w:ascii="Times New Roman;serif" w:hAnsi="Times New Roman;serif"/>
          <w:b w:val="false"/>
          <w:color w:val="000000"/>
          <w:sz w:val="20"/>
        </w:rPr>
        <w:t>(“ASU 2025-06”), which modernizes the accounting for internal-use software costs. ASU 2025-06 is effective for annual periods beginning after December 15, 2027, with early adoption permitted as of the beginning of an annual period. The Company is currently in the process of evaluating the impact of this pronouncement on its consolidated financial statements and related disclosures.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September 2025, the FASB issued ASU 2025-07, </w:t>
      </w:r>
      <w:r>
        <w:rPr>
          <w:rFonts w:ascii="Times New Roman;serif" w:hAnsi="Times New Roman;serif"/>
          <w:b w:val="false"/>
          <w:i/>
          <w:color w:val="000000"/>
          <w:sz w:val="20"/>
        </w:rPr>
        <w:t xml:space="preserve">Derivatives and Hedging (Topic 815) and Revenue from Contracts with Customers (Topic 606): Derivative Scope Refinements and Scope Clarification for Share-Based Noncash Consideration from a Customer in a Revenue Contract </w:t>
      </w:r>
      <w:r>
        <w:rPr>
          <w:rFonts w:ascii="Times New Roman;serif" w:hAnsi="Times New Roman;serif"/>
          <w:b w:val="false"/>
          <w:color w:val="000000"/>
          <w:sz w:val="20"/>
        </w:rPr>
        <w:t>(“ASU 2025-07”), which refines the scope of derivative accounting and clarifies the guidance on share-based payments from a customer in revenue arrangements. ASU 2025-07 is effective for annual periods beginning after December 15, 2026, with early adoption permitted. The Company does not expect this standard to have a material impact on its consolidated financial statements and related disclosures.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 xml:space="preserve">Financial Instruments - Credit Losses (Topic 326): Measurement of Credit Losses for Accounts Receivable and Contract Assets </w:t>
      </w:r>
      <w:r>
        <w:rPr>
          <w:rFonts w:ascii="Times New Roman;serif" w:hAnsi="Times New Roman;serif"/>
          <w:b w:val="false"/>
          <w:color w:val="000000"/>
          <w:sz w:val="20"/>
        </w:rPr>
        <w:t>(“ASU 2025-05”)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which provides a practical expedient and an accounting policy election related to the estimation of expected credit losses for current accounts receivable and current contract assets. ASU 2025-05 is effective for annual periods beginning after December 15, 2025. The Company does not expect this standard to have a material impact on its consolidated financial statements and related disclosures.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new accounting pronouncements issued by the FASB and does not believe any accounting pronouncements issued through the date of this report will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3.    FINANCIAL INSTRUMENTS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Cash Equivalents, and Investments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cash and available-for-sale debt securities’ amortized cost, gross unrealized gains, gross unrealized losses, allowance for credit loss, and fair value by significant investment category reported as cash and cash equivalents, short-term investments, or long-term investments as of December 31, 2025, and 2024 (in millions):</w:t>
      </w:r>
    </w:p>
    <w:tbl>
      <w:tblPr>
        <w:tblW w:w="11488" w:type="dxa"/>
        <w:jc w:val="left"/>
        <w:tblInd w:w="0" w:type="dxa"/>
        <w:tblLayout w:type="fixed"/>
        <w:tblCellMar>
          <w:top w:w="28" w:type="dxa"/>
          <w:left w:w="28" w:type="dxa"/>
          <w:bottom w:w="28" w:type="dxa"/>
          <w:right w:w="28" w:type="dxa"/>
        </w:tblCellMar>
      </w:tblPr>
      <w:tblGrid>
        <w:gridCol w:w="473"/>
        <w:gridCol w:w="311"/>
        <w:gridCol w:w="312"/>
        <w:gridCol w:w="211"/>
        <w:gridCol w:w="766"/>
        <w:gridCol w:w="109"/>
        <w:gridCol w:w="109"/>
        <w:gridCol w:w="109"/>
        <w:gridCol w:w="109"/>
        <w:gridCol w:w="224"/>
        <w:gridCol w:w="544"/>
        <w:gridCol w:w="118"/>
        <w:gridCol w:w="109"/>
        <w:gridCol w:w="109"/>
        <w:gridCol w:w="109"/>
        <w:gridCol w:w="252"/>
        <w:gridCol w:w="503"/>
        <w:gridCol w:w="131"/>
        <w:gridCol w:w="109"/>
        <w:gridCol w:w="109"/>
        <w:gridCol w:w="109"/>
        <w:gridCol w:w="243"/>
        <w:gridCol w:w="486"/>
        <w:gridCol w:w="12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as: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w:t>
              <w:br/>
              <w:t>Investments</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tbl>
      <w:tblPr>
        <w:tblW w:w="11488" w:type="dxa"/>
        <w:jc w:val="left"/>
        <w:tblInd w:w="0" w:type="dxa"/>
        <w:tblLayout w:type="fixed"/>
        <w:tblCellMar>
          <w:top w:w="28" w:type="dxa"/>
          <w:left w:w="28" w:type="dxa"/>
          <w:bottom w:w="28" w:type="dxa"/>
          <w:right w:w="28" w:type="dxa"/>
        </w:tblCellMar>
      </w:tblPr>
      <w:tblGrid>
        <w:gridCol w:w="473"/>
        <w:gridCol w:w="311"/>
        <w:gridCol w:w="312"/>
        <w:gridCol w:w="211"/>
        <w:gridCol w:w="766"/>
        <w:gridCol w:w="109"/>
        <w:gridCol w:w="109"/>
        <w:gridCol w:w="109"/>
        <w:gridCol w:w="109"/>
        <w:gridCol w:w="224"/>
        <w:gridCol w:w="544"/>
        <w:gridCol w:w="118"/>
        <w:gridCol w:w="109"/>
        <w:gridCol w:w="109"/>
        <w:gridCol w:w="109"/>
        <w:gridCol w:w="211"/>
        <w:gridCol w:w="566"/>
        <w:gridCol w:w="109"/>
        <w:gridCol w:w="109"/>
        <w:gridCol w:w="109"/>
        <w:gridCol w:w="109"/>
        <w:gridCol w:w="243"/>
        <w:gridCol w:w="486"/>
        <w:gridCol w:w="127"/>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as: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Allowance for Credit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and</w:t>
              <w:br/>
              <w:t>Cash</w:t>
              <w:br/>
              <w:t>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w:t>
              <w:br/>
              <w:t>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w:t>
              <w:br/>
              <w:t>Investments</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2024</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contractual maturities of the Company’s cash equivalents and available-for-sale debt securities (excluding money market funds), as of December 31, 2025 (in millions):</w:t>
      </w:r>
    </w:p>
    <w:tbl>
      <w:tblPr>
        <w:tblW w:w="4944" w:type="dxa"/>
        <w:jc w:val="left"/>
        <w:tblInd w:w="0" w:type="dxa"/>
        <w:tblLayout w:type="fixed"/>
        <w:tblCellMar>
          <w:top w:w="28" w:type="dxa"/>
          <w:left w:w="28" w:type="dxa"/>
          <w:bottom w:w="28" w:type="dxa"/>
          <w:right w:w="28" w:type="dxa"/>
        </w:tblCellMar>
      </w:tblPr>
      <w:tblGrid>
        <w:gridCol w:w="867"/>
        <w:gridCol w:w="765"/>
        <w:gridCol w:w="768"/>
        <w:gridCol w:w="211"/>
        <w:gridCol w:w="766"/>
        <w:gridCol w:w="109"/>
        <w:gridCol w:w="109"/>
        <w:gridCol w:w="109"/>
        <w:gridCol w:w="109"/>
        <w:gridCol w:w="211"/>
        <w:gridCol w:w="766"/>
        <w:gridCol w:w="154"/>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less than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Mature in one to five years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from contractual maturities, because certain borrowers have the right to call or prepay certain obligations. Gross realized gains and losses recognized on the sale of investments were immaterial for the years ended December 31, 2025, and 2024.</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breakdown of the available-for-sale debt securities with unrealized losses as of December 31, 2025, and 2024 (in millions):</w:t>
      </w:r>
    </w:p>
    <w:tbl>
      <w:tblPr>
        <w:tblW w:w="9819" w:type="dxa"/>
        <w:jc w:val="left"/>
        <w:tblInd w:w="0" w:type="dxa"/>
        <w:tblLayout w:type="fixed"/>
        <w:tblCellMar>
          <w:top w:w="28" w:type="dxa"/>
          <w:left w:w="28" w:type="dxa"/>
          <w:bottom w:w="28" w:type="dxa"/>
          <w:right w:w="28" w:type="dxa"/>
        </w:tblCellMar>
      </w:tblPr>
      <w:tblGrid>
        <w:gridCol w:w="803"/>
        <w:gridCol w:w="707"/>
        <w:gridCol w:w="710"/>
        <w:gridCol w:w="211"/>
        <w:gridCol w:w="766"/>
        <w:gridCol w:w="109"/>
        <w:gridCol w:w="109"/>
        <w:gridCol w:w="109"/>
        <w:gridCol w:w="109"/>
        <w:gridCol w:w="232"/>
        <w:gridCol w:w="586"/>
        <w:gridCol w:w="121"/>
        <w:gridCol w:w="109"/>
        <w:gridCol w:w="109"/>
        <w:gridCol w:w="109"/>
        <w:gridCol w:w="211"/>
        <w:gridCol w:w="616"/>
        <w:gridCol w:w="109"/>
        <w:gridCol w:w="109"/>
        <w:gridCol w:w="109"/>
        <w:gridCol w:w="109"/>
        <w:gridCol w:w="265"/>
        <w:gridCol w:w="528"/>
        <w:gridCol w:w="138"/>
        <w:gridCol w:w="109"/>
        <w:gridCol w:w="109"/>
        <w:gridCol w:w="109"/>
        <w:gridCol w:w="211"/>
        <w:gridCol w:w="766"/>
        <w:gridCol w:w="109"/>
        <w:gridCol w:w="109"/>
        <w:gridCol w:w="109"/>
        <w:gridCol w:w="109"/>
        <w:gridCol w:w="231"/>
        <w:gridCol w:w="586"/>
        <w:gridCol w:w="169"/>
      </w:tblGrid>
      <w:tr>
        <w:trPr/>
        <w:tc>
          <w:tcPr>
            <w:tcW w:w="80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 less</w:t>
              <w:br/>
              <w:t>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 12</w:t>
              <w:br/>
              <w:t>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2025</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U.S. treasuries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December 31, 2024</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current unrealized losses on the Company’s available-for-sale debt securities were caused by interest rate increases. The contractual terms of those investments do not permit the issuer to settle the securities at a price less than the amortized cost basis of the investments. As of December 31, 2025, the Company does not intend to sell the investments in unrealized loss positions, and it is not more-likely-than-not that the Company will be required to sell any of the investments before recovery of their amortized cost basis, which may be at maturity. Therefore, the Company does not expect to realize any losses on these available-for-sale debt securities. Additional factors considered in determining the treatment of unrealized losses include the financial condition and near-term prospects of the investee, the extent of the loss related to the credit of the issuer, and the expected cash flows from the security.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Equity Investments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the activity related to equity investments (in millions):</w:t>
      </w:r>
    </w:p>
    <w:tbl>
      <w:tblPr>
        <w:tblW w:w="10205" w:type="dxa"/>
        <w:jc w:val="left"/>
        <w:tblInd w:w="0" w:type="dxa"/>
        <w:tblLayout w:type="fixed"/>
        <w:tblCellMar>
          <w:top w:w="28" w:type="dxa"/>
          <w:left w:w="28" w:type="dxa"/>
          <w:bottom w:w="28" w:type="dxa"/>
          <w:right w:w="28" w:type="dxa"/>
        </w:tblCellMar>
      </w:tblPr>
      <w:tblGrid>
        <w:gridCol w:w="692"/>
        <w:gridCol w:w="607"/>
        <w:gridCol w:w="610"/>
        <w:gridCol w:w="254"/>
        <w:gridCol w:w="615"/>
        <w:gridCol w:w="132"/>
        <w:gridCol w:w="109"/>
        <w:gridCol w:w="109"/>
        <w:gridCol w:w="109"/>
        <w:gridCol w:w="273"/>
        <w:gridCol w:w="607"/>
        <w:gridCol w:w="141"/>
        <w:gridCol w:w="109"/>
        <w:gridCol w:w="109"/>
        <w:gridCol w:w="109"/>
        <w:gridCol w:w="288"/>
        <w:gridCol w:w="699"/>
        <w:gridCol w:w="151"/>
        <w:gridCol w:w="109"/>
        <w:gridCol w:w="109"/>
        <w:gridCol w:w="109"/>
        <w:gridCol w:w="237"/>
        <w:gridCol w:w="694"/>
        <w:gridCol w:w="122"/>
        <w:gridCol w:w="109"/>
        <w:gridCol w:w="109"/>
        <w:gridCol w:w="109"/>
        <w:gridCol w:w="333"/>
        <w:gridCol w:w="642"/>
        <w:gridCol w:w="175"/>
        <w:gridCol w:w="109"/>
        <w:gridCol w:w="109"/>
        <w:gridCol w:w="109"/>
        <w:gridCol w:w="277"/>
        <w:gridCol w:w="809"/>
        <w:gridCol w:w="212"/>
      </w:tblGrid>
      <w:tr>
        <w:trPr/>
        <w:tc>
          <w:tcPr>
            <w:tcW w:w="69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Reported as:</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2024</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Changes in Fair Value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Purchases / Sales / Other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Prepaids and other current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Intangible and other assets, net</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investments without readily determinable fair value</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in interest and other income, net.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Other includes foreign currency translation gains/(losses).</w:t>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1909"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the Company did not hold any equity investments with readily determinable fair values.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2025, for equity investments without readily determinable fair value, the Company recognized a net decrease in fair value of $2.0 million primarily due to impairments and net decreases in observable price changes for certain equity investments, partially offset by a gain from the sale of an equity investment, which were reflected in interest and other income, net.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Foreign Currency Derivatives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objective of the Company’s hedging program is to mitigate the impact of changes in currency exchange rates on net cash flow from foreign currency-denominated sales, expenses, intercompany balances, and other monetary assets or liabilities denominated in currencies other than the U.S. dollar (“USD”). The terms of the Company’s derivative contracts are generally thirteen months or shorter. The derivative assets and liabilities are measured using Level 2 fair value inputs.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Cash Flow Hedges. </w:t>
      </w:r>
      <w:r>
        <w:rPr>
          <w:rFonts w:ascii="Times New Roman;serif" w:hAnsi="Times New Roman;serif"/>
          <w:b w:val="false"/>
          <w:color w:val="000000"/>
          <w:sz w:val="20"/>
        </w:rPr>
        <w:t xml:space="preserve">The Company enters into currency forward contracts as cash flow hedges to hedge certain forecasted revenue transactions denominated in currencies other than the USD, primarily the Euro (“EUR”), the British Pound (“GBP”),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Japanese Yen (“JPY”), the Korean Won (“KRW”), the New Taiwan Dollar (“TWD”), the Canadian Dollar (“CAD”), and the Indian Rupee (“INR”). The Company also enters into currency forward contracts as cash flow hedges to hedge certain forecasted expense transactions denominated in EUR and the Swiss Franc (“CHF”).</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these derivatives, the Company reports the unrealized after-tax gain or loss from the hedge as a component of accumulated other comprehensive income (loss) in stockholders’ equity and reclassifies the amount into earnings in the same period in which the hedged transaction affects earnings. The amounts reclassified to revenue and expenses related to the hedged transactions and the ineffective portions of cash flow hedges were not material for the periods presented.</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Other Derivatives Not Designated as Hedging Instruments. </w:t>
      </w:r>
      <w:r>
        <w:rPr>
          <w:rFonts w:ascii="Times New Roman;serif" w:hAnsi="Times New Roman;serif"/>
          <w:b w:val="false"/>
          <w:color w:val="000000"/>
          <w:sz w:val="20"/>
        </w:rPr>
        <w:t>Other derivatives not designated as hedging instruments consist primarily of forward contracts that the Company uses to hedge intercompany balances and other monetary assets or liabilities denominated in currencies other than the USD, primarily the EUR, GBP, JPY, KRW, CHF, TWD, INR, and the Chinese Yuan (“CNY”).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derivative instruments are used to hedge against balance sheet foreign currency exposures. The related gains and losses were as follows (in millions):</w:t>
      </w:r>
    </w:p>
    <w:tbl>
      <w:tblPr>
        <w:tblW w:w="8576" w:type="dxa"/>
        <w:jc w:val="left"/>
        <w:tblInd w:w="0" w:type="dxa"/>
        <w:tblLayout w:type="fixed"/>
        <w:tblCellMar>
          <w:top w:w="28" w:type="dxa"/>
          <w:left w:w="28" w:type="dxa"/>
          <w:bottom w:w="28" w:type="dxa"/>
          <w:right w:w="28" w:type="dxa"/>
        </w:tblCellMar>
      </w:tblPr>
      <w:tblGrid>
        <w:gridCol w:w="1945"/>
        <w:gridCol w:w="1709"/>
        <w:gridCol w:w="1715"/>
        <w:gridCol w:w="211"/>
        <w:gridCol w:w="481"/>
        <w:gridCol w:w="109"/>
        <w:gridCol w:w="109"/>
        <w:gridCol w:w="109"/>
        <w:gridCol w:w="109"/>
        <w:gridCol w:w="211"/>
        <w:gridCol w:w="586"/>
        <w:gridCol w:w="109"/>
        <w:gridCol w:w="109"/>
        <w:gridCol w:w="109"/>
        <w:gridCol w:w="109"/>
        <w:gridCol w:w="211"/>
        <w:gridCol w:w="481"/>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(losses) in interest and other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losses related to balance sheet re-measurement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notional amounts for derivative instruments provide one measure of the transaction volume. Total gross notional amounts (in USD) for outstanding derivatives and the aggregate gross fair value at the end of each period were as follows (in millions):</w:t>
      </w:r>
    </w:p>
    <w:tbl>
      <w:tblPr>
        <w:tblW w:w="10205" w:type="dxa"/>
        <w:jc w:val="left"/>
        <w:tblInd w:w="0" w:type="dxa"/>
        <w:tblLayout w:type="fixed"/>
        <w:tblCellMar>
          <w:top w:w="28" w:type="dxa"/>
          <w:left w:w="28" w:type="dxa"/>
          <w:bottom w:w="28" w:type="dxa"/>
          <w:right w:w="28" w:type="dxa"/>
        </w:tblCellMar>
      </w:tblPr>
      <w:tblGrid>
        <w:gridCol w:w="900"/>
        <w:gridCol w:w="787"/>
        <w:gridCol w:w="790"/>
        <w:gridCol w:w="339"/>
        <w:gridCol w:w="990"/>
        <w:gridCol w:w="174"/>
        <w:gridCol w:w="174"/>
        <w:gridCol w:w="174"/>
        <w:gridCol w:w="174"/>
        <w:gridCol w:w="339"/>
        <w:gridCol w:w="990"/>
        <w:gridCol w:w="174"/>
        <w:gridCol w:w="109"/>
        <w:gridCol w:w="109"/>
        <w:gridCol w:w="109"/>
        <w:gridCol w:w="363"/>
        <w:gridCol w:w="1061"/>
        <w:gridCol w:w="187"/>
        <w:gridCol w:w="187"/>
        <w:gridCol w:w="187"/>
        <w:gridCol w:w="187"/>
        <w:gridCol w:w="363"/>
        <w:gridCol w:w="1061"/>
        <w:gridCol w:w="277"/>
      </w:tblGrid>
      <w:tr>
        <w:trPr/>
        <w:tc>
          <w:tcPr>
            <w:tcW w:w="90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Derivatives Not Designated as Hedging Instruments</w:t>
            </w:r>
          </w:p>
        </w:tc>
      </w:tr>
      <w:tr>
        <w:trPr/>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Notional amounts:</w:t>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contracts</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fair value recorded in:</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4.    CONSOLIDATED FINANCIAL STATEMENT DETAILS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Balance Sheet Details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details of selected consolidated financial statement items (in millions):</w:t>
      </w:r>
    </w:p>
    <w:tbl>
      <w:tblPr>
        <w:tblW w:w="5844" w:type="dxa"/>
        <w:jc w:val="left"/>
        <w:tblInd w:w="0" w:type="dxa"/>
        <w:tblLayout w:type="fixed"/>
        <w:tblCellMar>
          <w:top w:w="28" w:type="dxa"/>
          <w:left w:w="28" w:type="dxa"/>
          <w:bottom w:w="28" w:type="dxa"/>
          <w:right w:w="28" w:type="dxa"/>
        </w:tblCellMar>
      </w:tblPr>
      <w:tblGrid>
        <w:gridCol w:w="1197"/>
        <w:gridCol w:w="1049"/>
        <w:gridCol w:w="1054"/>
        <w:gridCol w:w="211"/>
        <w:gridCol w:w="766"/>
        <w:gridCol w:w="109"/>
        <w:gridCol w:w="109"/>
        <w:gridCol w:w="109"/>
        <w:gridCol w:w="109"/>
        <w:gridCol w:w="211"/>
        <w:gridCol w:w="766"/>
        <w:gridCol w:w="154"/>
      </w:tblGrid>
      <w:tr>
        <w:trPr/>
        <w:tc>
          <w:tcPr>
            <w:tcW w:w="119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Accounts receivable, net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returns and allowances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000" w:type="dxa"/>
        <w:jc w:val="left"/>
        <w:tblInd w:w="0" w:type="dxa"/>
        <w:tblLayout w:type="fixed"/>
        <w:tblCellMar>
          <w:top w:w="28" w:type="dxa"/>
          <w:left w:w="28" w:type="dxa"/>
          <w:bottom w:w="28" w:type="dxa"/>
          <w:right w:w="28" w:type="dxa"/>
        </w:tblCellMar>
      </w:tblPr>
      <w:tblGrid>
        <w:gridCol w:w="527"/>
        <w:gridCol w:w="463"/>
        <w:gridCol w:w="466"/>
        <w:gridCol w:w="211"/>
        <w:gridCol w:w="766"/>
        <w:gridCol w:w="109"/>
        <w:gridCol w:w="109"/>
        <w:gridCol w:w="109"/>
        <w:gridCol w:w="109"/>
        <w:gridCol w:w="211"/>
        <w:gridCol w:w="76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Inventory</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tbl>
      <w:tblPr>
        <w:tblW w:w="6203" w:type="dxa"/>
        <w:jc w:val="left"/>
        <w:tblInd w:w="0" w:type="dxa"/>
        <w:tblLayout w:type="fixed"/>
        <w:tblCellMar>
          <w:top w:w="28" w:type="dxa"/>
          <w:left w:w="28" w:type="dxa"/>
          <w:bottom w:w="28" w:type="dxa"/>
          <w:right w:w="28" w:type="dxa"/>
        </w:tblCellMar>
      </w:tblPr>
      <w:tblGrid>
        <w:gridCol w:w="1432"/>
        <w:gridCol w:w="1259"/>
        <w:gridCol w:w="1268"/>
        <w:gridCol w:w="211"/>
        <w:gridCol w:w="616"/>
        <w:gridCol w:w="109"/>
        <w:gridCol w:w="109"/>
        <w:gridCol w:w="109"/>
        <w:gridCol w:w="109"/>
        <w:gridCol w:w="211"/>
        <w:gridCol w:w="616"/>
        <w:gridCol w:w="154"/>
      </w:tblGrid>
      <w:tr>
        <w:trPr/>
        <w:tc>
          <w:tcPr>
            <w:tcW w:w="1432"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Prepaids and other current assets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 – short-term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76"/>
        <w:gridCol w:w="2434"/>
        <w:gridCol w:w="2449"/>
        <w:gridCol w:w="211"/>
        <w:gridCol w:w="766"/>
        <w:gridCol w:w="109"/>
        <w:gridCol w:w="109"/>
        <w:gridCol w:w="109"/>
        <w:gridCol w:w="109"/>
        <w:gridCol w:w="211"/>
        <w:gridCol w:w="766"/>
        <w:gridCol w:w="156"/>
      </w:tblGrid>
      <w:tr>
        <w:trPr/>
        <w:tc>
          <w:tcPr>
            <w:tcW w:w="2776"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Property, plant, and equipment, net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building/leasehold improvements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 Intuitive System Leasing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Construction-in-process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property, plant, and equipment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associated with operating lease assets – Intuitive System Leasing</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414" w:type="dxa"/>
        <w:jc w:val="left"/>
        <w:tblInd w:w="0" w:type="dxa"/>
        <w:tblLayout w:type="fixed"/>
        <w:tblCellMar>
          <w:top w:w="28" w:type="dxa"/>
          <w:left w:w="28" w:type="dxa"/>
          <w:bottom w:w="28" w:type="dxa"/>
          <w:right w:w="28" w:type="dxa"/>
        </w:tblCellMar>
      </w:tblPr>
      <w:tblGrid>
        <w:gridCol w:w="1510"/>
        <w:gridCol w:w="1328"/>
        <w:gridCol w:w="1332"/>
        <w:gridCol w:w="211"/>
        <w:gridCol w:w="616"/>
        <w:gridCol w:w="109"/>
        <w:gridCol w:w="109"/>
        <w:gridCol w:w="109"/>
        <w:gridCol w:w="109"/>
        <w:gridCol w:w="211"/>
        <w:gridCol w:w="61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accrued liabilities – short-term</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other taxes payable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construction-related 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 – short-term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29" w:type="dxa"/>
        <w:jc w:val="left"/>
        <w:tblInd w:w="0" w:type="dxa"/>
        <w:tblLayout w:type="fixed"/>
        <w:tblCellMar>
          <w:top w:w="28" w:type="dxa"/>
          <w:left w:w="28" w:type="dxa"/>
          <w:bottom w:w="28" w:type="dxa"/>
          <w:right w:w="28" w:type="dxa"/>
        </w:tblCellMar>
      </w:tblPr>
      <w:tblGrid>
        <w:gridCol w:w="973"/>
        <w:gridCol w:w="855"/>
        <w:gridCol w:w="857"/>
        <w:gridCol w:w="211"/>
        <w:gridCol w:w="616"/>
        <w:gridCol w:w="109"/>
        <w:gridCol w:w="109"/>
        <w:gridCol w:w="109"/>
        <w:gridCol w:w="109"/>
        <w:gridCol w:w="211"/>
        <w:gridCol w:w="616"/>
        <w:gridCol w:w="154"/>
      </w:tblGrid>
      <w:tr>
        <w:trPr/>
        <w:tc>
          <w:tcPr>
            <w:tcW w:w="97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Other long-term liabilities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 long-term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long-term</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Supplemental Cash Flow Information</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of income taxes paid and supplemental non-cash investing and financing activities (in millions):</w:t>
      </w:r>
    </w:p>
    <w:tbl>
      <w:tblPr>
        <w:tblW w:w="10205" w:type="dxa"/>
        <w:jc w:val="left"/>
        <w:tblInd w:w="0" w:type="dxa"/>
        <w:tblLayout w:type="fixed"/>
        <w:tblCellMar>
          <w:top w:w="28" w:type="dxa"/>
          <w:left w:w="28" w:type="dxa"/>
          <w:bottom w:w="28" w:type="dxa"/>
          <w:right w:w="28" w:type="dxa"/>
        </w:tblCellMar>
      </w:tblPr>
      <w:tblGrid>
        <w:gridCol w:w="2482"/>
        <w:gridCol w:w="2111"/>
        <w:gridCol w:w="2104"/>
        <w:gridCol w:w="211"/>
        <w:gridCol w:w="616"/>
        <w:gridCol w:w="109"/>
        <w:gridCol w:w="109"/>
        <w:gridCol w:w="109"/>
        <w:gridCol w:w="109"/>
        <w:gridCol w:w="211"/>
        <w:gridCol w:w="616"/>
        <w:gridCol w:w="109"/>
        <w:gridCol w:w="109"/>
        <w:gridCol w:w="109"/>
        <w:gridCol w:w="109"/>
        <w:gridCol w:w="211"/>
        <w:gridCol w:w="616"/>
        <w:gridCol w:w="155"/>
      </w:tblGrid>
      <w:tr>
        <w:trPr/>
        <w:tc>
          <w:tcPr>
            <w:tcW w:w="2482"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 transfers, including operating lease assets, from inventory to property, plant, and equipment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 in 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Restricted Cash</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total cash, cash equivalents, and restricted cash as of the periods presented (in millions):</w:t>
      </w:r>
    </w:p>
    <w:tbl>
      <w:tblPr>
        <w:tblW w:w="6641" w:type="dxa"/>
        <w:jc w:val="left"/>
        <w:tblInd w:w="0" w:type="dxa"/>
        <w:tblLayout w:type="fixed"/>
        <w:tblCellMar>
          <w:top w:w="28" w:type="dxa"/>
          <w:left w:w="28" w:type="dxa"/>
          <w:bottom w:w="28" w:type="dxa"/>
          <w:right w:w="28" w:type="dxa"/>
        </w:tblCellMar>
      </w:tblPr>
      <w:tblGrid>
        <w:gridCol w:w="1445"/>
        <w:gridCol w:w="1269"/>
        <w:gridCol w:w="1276"/>
        <w:gridCol w:w="221"/>
        <w:gridCol w:w="804"/>
        <w:gridCol w:w="114"/>
        <w:gridCol w:w="109"/>
        <w:gridCol w:w="109"/>
        <w:gridCol w:w="109"/>
        <w:gridCol w:w="221"/>
        <w:gridCol w:w="803"/>
        <w:gridCol w:w="161"/>
      </w:tblGrid>
      <w:tr>
        <w:trPr/>
        <w:tc>
          <w:tcPr>
            <w:tcW w:w="144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within other current assets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within other assets</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5.    REVENUE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on customer location. The following table presents revenue disaggregated by geography and type (in millions):</w:t>
      </w:r>
    </w:p>
    <w:tbl>
      <w:tblPr>
        <w:tblW w:w="6744" w:type="dxa"/>
        <w:jc w:val="left"/>
        <w:tblInd w:w="0" w:type="dxa"/>
        <w:tblLayout w:type="fixed"/>
        <w:tblCellMar>
          <w:top w:w="28" w:type="dxa"/>
          <w:left w:w="28" w:type="dxa"/>
          <w:bottom w:w="28" w:type="dxa"/>
          <w:right w:w="28" w:type="dxa"/>
        </w:tblCellMar>
      </w:tblPr>
      <w:tblGrid>
        <w:gridCol w:w="850"/>
        <w:gridCol w:w="747"/>
        <w:gridCol w:w="758"/>
        <w:gridCol w:w="109"/>
        <w:gridCol w:w="109"/>
        <w:gridCol w:w="109"/>
        <w:gridCol w:w="211"/>
        <w:gridCol w:w="871"/>
        <w:gridCol w:w="109"/>
        <w:gridCol w:w="109"/>
        <w:gridCol w:w="109"/>
        <w:gridCol w:w="109"/>
        <w:gridCol w:w="211"/>
        <w:gridCol w:w="766"/>
        <w:gridCol w:w="109"/>
        <w:gridCol w:w="109"/>
        <w:gridCol w:w="109"/>
        <w:gridCol w:w="109"/>
        <w:gridCol w:w="211"/>
        <w:gridCol w:w="766"/>
        <w:gridCol w:w="154"/>
      </w:tblGrid>
      <w:tr>
        <w:trPr/>
        <w:tc>
          <w:tcPr>
            <w:tcW w:w="85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 and accessories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transaction price allocated to remaining performance obligations relates to amounts allocated to products and services for which revenue has not yet been recognized. A significant portion of these performance obligations relate to service obligations in the Company’s system sale and lease arrangements that will be satisfied and recognized as revenue in future periods. The transaction price allocated to the remaining performance obligations was $3.0 billion as of December 31, 2025. The remaining performance obligations are expected to be satisfied over the term of the system sale, lease, and service arrangements. Approximately half of the remaining performance obligations are expected to be recognized in the next 12 months with the remainder recognized thereafter over the term of the system sale, lease, and service arrangements, which are generally up to 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information summarizes the Company’s contract assets and liabilities (in millions):</w:t>
      </w:r>
    </w:p>
    <w:tbl>
      <w:tblPr>
        <w:tblW w:w="3744" w:type="dxa"/>
        <w:jc w:val="left"/>
        <w:tblInd w:w="0" w:type="dxa"/>
        <w:tblLayout w:type="fixed"/>
        <w:tblCellMar>
          <w:top w:w="28" w:type="dxa"/>
          <w:left w:w="28" w:type="dxa"/>
          <w:bottom w:w="28" w:type="dxa"/>
          <w:right w:w="28" w:type="dxa"/>
        </w:tblCellMar>
      </w:tblPr>
      <w:tblGrid>
        <w:gridCol w:w="543"/>
        <w:gridCol w:w="477"/>
        <w:gridCol w:w="480"/>
        <w:gridCol w:w="211"/>
        <w:gridCol w:w="616"/>
        <w:gridCol w:w="109"/>
        <w:gridCol w:w="109"/>
        <w:gridCol w:w="109"/>
        <w:gridCol w:w="109"/>
        <w:gridCol w:w="211"/>
        <w:gridCol w:w="61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assets for the periods presented primarily represent the difference between the revenue that was recognized based on the relative standalone selling price of the related performance obligations satisfied and the contractual billing terms in the arrangements. The Company did not have significant impairment losses on its contract assets for any of the periods presented.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invoices its customers based on the billing schedules in its sales arrangements. Payments are generally due 30 to 60 days from the date of invoice.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Deferred revenue for the periods presented primarily relates to service contracts where the service fees are billed up-front, generally quarterly or annually, prior to those services having been performed. The associated deferred revenue is generally recognized over the term of the service period.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recognized $459 million of revenue that was included in the deferred revenue balance as of December 31, 2024. During the year ended December 31, 2024, the Company recognized $422 million of revenue that was included in the deferred revenue balance as of December 31, 2023.</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Intuitive System Leasing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product revenue from Intuitive System Leasing arrangements (in millions):</w:t>
      </w:r>
    </w:p>
    <w:tbl>
      <w:tblPr>
        <w:tblW w:w="10205" w:type="dxa"/>
        <w:jc w:val="left"/>
        <w:tblInd w:w="0" w:type="dxa"/>
        <w:tblLayout w:type="fixed"/>
        <w:tblCellMar>
          <w:top w:w="28" w:type="dxa"/>
          <w:left w:w="28" w:type="dxa"/>
          <w:bottom w:w="28" w:type="dxa"/>
          <w:right w:w="28" w:type="dxa"/>
        </w:tblCellMar>
      </w:tblPr>
      <w:tblGrid>
        <w:gridCol w:w="2348"/>
        <w:gridCol w:w="2007"/>
        <w:gridCol w:w="2015"/>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348"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Sales-type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*Variable lease revenue related to usage-based arrangements included within operating lease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6.    LEASES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Lessor Information related to Intuitive System Leasing</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Sales-type Leases. </w:t>
      </w:r>
      <w:r>
        <w:rPr>
          <w:rFonts w:ascii="Times New Roman;serif" w:hAnsi="Times New Roman;serif"/>
          <w:b w:val="false"/>
          <w:color w:val="000000"/>
          <w:sz w:val="20"/>
        </w:rPr>
        <w:t>Lease receivables relating to sales-type lease arrangements are presented on the Consolidated Balance Sheets as follows (in millions):</w:t>
      </w:r>
    </w:p>
    <w:tbl>
      <w:tblPr>
        <w:tblW w:w="5183" w:type="dxa"/>
        <w:jc w:val="left"/>
        <w:tblInd w:w="0" w:type="dxa"/>
        <w:tblLayout w:type="fixed"/>
        <w:tblCellMar>
          <w:top w:w="28" w:type="dxa"/>
          <w:left w:w="28" w:type="dxa"/>
          <w:bottom w:w="28" w:type="dxa"/>
          <w:right w:w="28" w:type="dxa"/>
        </w:tblCellMar>
      </w:tblPr>
      <w:tblGrid>
        <w:gridCol w:w="1064"/>
        <w:gridCol w:w="937"/>
        <w:gridCol w:w="938"/>
        <w:gridCol w:w="211"/>
        <w:gridCol w:w="616"/>
        <w:gridCol w:w="109"/>
        <w:gridCol w:w="109"/>
        <w:gridCol w:w="109"/>
        <w:gridCol w:w="109"/>
        <w:gridCol w:w="211"/>
        <w:gridCol w:w="61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lease 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as: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 sales-type leases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Contractual maturities of gross lease receivables as of December 31, 2025, are as follows (in millions):</w:t>
      </w:r>
    </w:p>
    <w:tbl>
      <w:tblPr>
        <w:tblW w:w="2675" w:type="dxa"/>
        <w:jc w:val="left"/>
        <w:tblInd w:w="0" w:type="dxa"/>
        <w:tblLayout w:type="fixed"/>
        <w:tblCellMar>
          <w:top w:w="28" w:type="dxa"/>
          <w:left w:w="28" w:type="dxa"/>
          <w:bottom w:w="28" w:type="dxa"/>
          <w:right w:w="28" w:type="dxa"/>
        </w:tblCellMar>
      </w:tblPr>
      <w:tblGrid>
        <w:gridCol w:w="612"/>
        <w:gridCol w:w="539"/>
        <w:gridCol w:w="543"/>
        <w:gridCol w:w="211"/>
        <w:gridCol w:w="61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Fiscal Year</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i/>
          <w:color w:val="000000"/>
          <w:sz w:val="20"/>
        </w:rPr>
        <w:t xml:space="preserve">Operating Leases. </w:t>
      </w:r>
      <w:r>
        <w:rPr>
          <w:rFonts w:ascii="Times New Roman;serif" w:hAnsi="Times New Roman;serif"/>
          <w:b w:val="false"/>
          <w:color w:val="000000"/>
          <w:sz w:val="20"/>
        </w:rPr>
        <w:t>The Company’s fixed-payment or usage-based operating lease terms are generally less than seven years. Future lease payments (excluding non-lease elements and contingent payments related to usage-based arrangements) related to the non-cancellable portion of operating leases as of December 31, 2025, are as follows (in millions):</w:t>
      </w:r>
    </w:p>
    <w:tbl>
      <w:tblPr>
        <w:tblW w:w="2825" w:type="dxa"/>
        <w:jc w:val="left"/>
        <w:tblInd w:w="0" w:type="dxa"/>
        <w:tblLayout w:type="fixed"/>
        <w:tblCellMar>
          <w:top w:w="28" w:type="dxa"/>
          <w:left w:w="28" w:type="dxa"/>
          <w:bottom w:w="28" w:type="dxa"/>
          <w:right w:w="28" w:type="dxa"/>
        </w:tblCellMar>
      </w:tblPr>
      <w:tblGrid>
        <w:gridCol w:w="612"/>
        <w:gridCol w:w="539"/>
        <w:gridCol w:w="543"/>
        <w:gridCol w:w="211"/>
        <w:gridCol w:w="76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Fiscal Year</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Lessee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operating leases primarily for real estate, automobiles, and certain equipment. Operating lease expense was $40.9 million, $33.9 million, and $26.8 million for the years ended December 31, 2025, 2024, and 2023, respectively. For leases with terms of 12 months or less, the related expense was immaterial for each of the years ended December 31, 2025, 2024, and 2023.</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for the years ended December 31, 2025, 2024, and 2023 related to operating leases was as follows (in millions):</w:t>
      </w:r>
    </w:p>
    <w:tbl>
      <w:tblPr>
        <w:tblW w:w="9339" w:type="dxa"/>
        <w:jc w:val="left"/>
        <w:tblInd w:w="0" w:type="dxa"/>
        <w:tblLayout w:type="fixed"/>
        <w:tblCellMar>
          <w:top w:w="28" w:type="dxa"/>
          <w:left w:w="28" w:type="dxa"/>
          <w:bottom w:w="28" w:type="dxa"/>
          <w:right w:w="28" w:type="dxa"/>
        </w:tblCellMar>
      </w:tblPr>
      <w:tblGrid>
        <w:gridCol w:w="2106"/>
        <w:gridCol w:w="1854"/>
        <w:gridCol w:w="1860"/>
        <w:gridCol w:w="211"/>
        <w:gridCol w:w="511"/>
        <w:gridCol w:w="109"/>
        <w:gridCol w:w="109"/>
        <w:gridCol w:w="109"/>
        <w:gridCol w:w="109"/>
        <w:gridCol w:w="211"/>
        <w:gridCol w:w="511"/>
        <w:gridCol w:w="109"/>
        <w:gridCol w:w="109"/>
        <w:gridCol w:w="109"/>
        <w:gridCol w:w="109"/>
        <w:gridCol w:w="211"/>
        <w:gridCol w:w="511"/>
        <w:gridCol w:w="109"/>
        <w:gridCol w:w="109"/>
        <w:gridCol w:w="109"/>
        <w:gridCol w:w="154"/>
      </w:tblGrid>
      <w:tr>
        <w:trPr/>
        <w:tc>
          <w:tcPr>
            <w:tcW w:w="2106"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leases that were included within operating cash outflows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recognized related to new lease obligations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as of December 31, 2025, and 2024, was as follows (in millions, except lease term and discount rate):</w:t>
      </w:r>
    </w:p>
    <w:tbl>
      <w:tblPr>
        <w:tblW w:w="6891" w:type="dxa"/>
        <w:jc w:val="left"/>
        <w:tblInd w:w="0" w:type="dxa"/>
        <w:tblLayout w:type="fixed"/>
        <w:tblCellMar>
          <w:top w:w="28" w:type="dxa"/>
          <w:left w:w="28" w:type="dxa"/>
          <w:bottom w:w="28" w:type="dxa"/>
          <w:right w:w="28" w:type="dxa"/>
        </w:tblCellMar>
      </w:tblPr>
      <w:tblGrid>
        <w:gridCol w:w="1565"/>
        <w:gridCol w:w="1374"/>
        <w:gridCol w:w="1381"/>
        <w:gridCol w:w="211"/>
        <w:gridCol w:w="616"/>
        <w:gridCol w:w="109"/>
        <w:gridCol w:w="109"/>
        <w:gridCol w:w="109"/>
        <w:gridCol w:w="109"/>
        <w:gridCol w:w="211"/>
        <w:gridCol w:w="616"/>
        <w:gridCol w:w="109"/>
        <w:gridCol w:w="109"/>
        <w:gridCol w:w="109"/>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and other assets, net (Right-of-use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future payments related to the Company’s operating lease liabilities are scheduled as follows (in millions):</w:t>
      </w:r>
    </w:p>
    <w:tbl>
      <w:tblPr>
        <w:tblW w:w="3962" w:type="dxa"/>
        <w:jc w:val="left"/>
        <w:tblInd w:w="0" w:type="dxa"/>
        <w:tblLayout w:type="fixed"/>
        <w:tblCellMar>
          <w:top w:w="28" w:type="dxa"/>
          <w:left w:w="28" w:type="dxa"/>
          <w:bottom w:w="28" w:type="dxa"/>
          <w:right w:w="28" w:type="dxa"/>
        </w:tblCellMar>
      </w:tblPr>
      <w:tblGrid>
        <w:gridCol w:w="959"/>
        <w:gridCol w:w="845"/>
        <w:gridCol w:w="850"/>
        <w:gridCol w:w="211"/>
        <w:gridCol w:w="616"/>
        <w:gridCol w:w="109"/>
        <w:gridCol w:w="109"/>
        <w:gridCol w:w="109"/>
        <w:gridCol w:w="154"/>
      </w:tblGrid>
      <w:tr>
        <w:trPr/>
        <w:tc>
          <w:tcPr>
            <w:tcW w:w="95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Fiscal Year</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7.    GOODWILL AND INTANGIBLE ASSETS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2025, Intuitive acquired a company that develops integrated robotics and artificial intelligence solutions to improve the accuracy, efficiency, and accessibility of tissue assessment during biopsy procedures at the point of care. The total purchase consideration for the acquisition was not material.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material acquisitions in 2024 or 2023.</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Pending Acquisitions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21, 2025, the Company announced that it has entered into a definitive agreement with the current Intuitive technology distributors ab medica, Abex, Excelencia Robotica, and their affiliates to acquire the da Vinci and Ion distribution businesses in Italy, Spain, Portugal, Malta, and San Marino, and associated territories. The transaction consists of an upfront cash payment of approximately €319 million, subject to certain closing adjustments. The Company expects to complete the transaction in the first half of 2026, subject to applicable regulatory approvals and customary closing conditions.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carrying amount of goodwill (in millions):</w:t>
      </w:r>
    </w:p>
    <w:tbl>
      <w:tblPr>
        <w:tblW w:w="4127" w:type="dxa"/>
        <w:jc w:val="left"/>
        <w:tblInd w:w="0" w:type="dxa"/>
        <w:tblLayout w:type="fixed"/>
        <w:tblCellMar>
          <w:top w:w="28" w:type="dxa"/>
          <w:left w:w="28" w:type="dxa"/>
          <w:bottom w:w="28" w:type="dxa"/>
          <w:right w:w="28" w:type="dxa"/>
        </w:tblCellMar>
      </w:tblPr>
      <w:tblGrid>
        <w:gridCol w:w="1021"/>
        <w:gridCol w:w="896"/>
        <w:gridCol w:w="902"/>
        <w:gridCol w:w="109"/>
        <w:gridCol w:w="109"/>
        <w:gridCol w:w="109"/>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completed its annual goodwill impairment test and determined that no impairment existed. As of December 31, 2025, there has been no impairment of 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gross intangible asset, accumulated amortization, and net intangible asset balances as of December 31, 2025, and 2024 (in millions):</w:t>
      </w:r>
    </w:p>
    <w:tbl>
      <w:tblPr>
        <w:tblW w:w="10205" w:type="dxa"/>
        <w:jc w:val="left"/>
        <w:tblInd w:w="0" w:type="dxa"/>
        <w:tblLayout w:type="fixed"/>
        <w:tblCellMar>
          <w:top w:w="28" w:type="dxa"/>
          <w:left w:w="28" w:type="dxa"/>
          <w:bottom w:w="28" w:type="dxa"/>
          <w:right w:w="28" w:type="dxa"/>
        </w:tblCellMar>
      </w:tblPr>
      <w:tblGrid>
        <w:gridCol w:w="686"/>
        <w:gridCol w:w="478"/>
        <w:gridCol w:w="481"/>
        <w:gridCol w:w="109"/>
        <w:gridCol w:w="109"/>
        <w:gridCol w:w="109"/>
        <w:gridCol w:w="257"/>
        <w:gridCol w:w="753"/>
        <w:gridCol w:w="133"/>
        <w:gridCol w:w="109"/>
        <w:gridCol w:w="109"/>
        <w:gridCol w:w="109"/>
        <w:gridCol w:w="287"/>
        <w:gridCol w:w="862"/>
        <w:gridCol w:w="150"/>
        <w:gridCol w:w="109"/>
        <w:gridCol w:w="109"/>
        <w:gridCol w:w="109"/>
        <w:gridCol w:w="211"/>
        <w:gridCol w:w="511"/>
        <w:gridCol w:w="109"/>
        <w:gridCol w:w="109"/>
        <w:gridCol w:w="109"/>
        <w:gridCol w:w="109"/>
        <w:gridCol w:w="257"/>
        <w:gridCol w:w="753"/>
        <w:gridCol w:w="133"/>
        <w:gridCol w:w="109"/>
        <w:gridCol w:w="109"/>
        <w:gridCol w:w="109"/>
        <w:gridCol w:w="287"/>
        <w:gridCol w:w="862"/>
        <w:gridCol w:w="150"/>
        <w:gridCol w:w="109"/>
        <w:gridCol w:w="109"/>
        <w:gridCol w:w="109"/>
        <w:gridCol w:w="211"/>
        <w:gridCol w:w="511"/>
        <w:gridCol w:w="161"/>
      </w:tblGrid>
      <w:tr>
        <w:trPr/>
        <w:tc>
          <w:tcPr>
            <w:tcW w:w="68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Carrying</w:t>
              <w:br/>
              <w:t>Amount</w:t>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 and 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 and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definite-lived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In-process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$13.2 million, $16.7 million, and $20.2 million for the years ended December 31, 2025, 2024, and 2023, respectively.</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estimated future amortization expense related to intangible assets as of December 31, 2025, is as follows (in millions):</w:t>
      </w:r>
    </w:p>
    <w:tbl>
      <w:tblPr>
        <w:tblW w:w="1850" w:type="dxa"/>
        <w:jc w:val="left"/>
        <w:tblInd w:w="0" w:type="dxa"/>
        <w:tblLayout w:type="fixed"/>
        <w:tblCellMar>
          <w:top w:w="28" w:type="dxa"/>
          <w:left w:w="28" w:type="dxa"/>
          <w:bottom w:w="28" w:type="dxa"/>
          <w:right w:w="28" w:type="dxa"/>
        </w:tblCellMar>
      </w:tblPr>
      <w:tblGrid>
        <w:gridCol w:w="352"/>
        <w:gridCol w:w="310"/>
        <w:gridCol w:w="312"/>
        <w:gridCol w:w="211"/>
        <w:gridCol w:w="51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Fiscal Year</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preceding expected amortization expense is an estimate. Actual amounts of amortization expense may differ from estimated amounts due to additional intangible asset acquisitions, measurement period adjustments to intangible assets, changes in foreign currency exchange rates, impairments of intangible assets, accelerated amortization of intangible assets, and other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8.    COMMITMENTS AND CONTINGENCIES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Company’s commitments include an estimated amount of approximately $2.53 billion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and construction-related activities for which the Company has not received the services, and acquisition and licensing of intellectual property. Although open purchase orders are considered enforceable and legally binding, the terms generally allow the Company the option to cancel, reschedule, and adjust its requirements based on its business needs prior to the delivery of goods or performance of services. Additionally, the Company has committed to making certain future milestone payments to third parties as part of licensing, collaboration, and development arrangements. Payments under these arrangements generally become due and payable only upon the achievement of certain specified developmental, regulatory, and/or commercial milestones. For instances in which the achievement of these milestones is neither probable nor reasonably estimable, such contingencies are not included in the estimated amount.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a variety of claims, lawsuits, investigations, and proceedings relating to securities laws, product liability, intellectual property, commercial, insurance, contract disputes, employment, and other matters. Certain of these lawsuits and claims are described in further detail below. It is not possible to predict what the outcome of these matters will be, and the Company cannot guarantee that any resolution will be reached on commercially reasonable terms, if at all.</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liability and related charge to earnings are recorded in the Consolidated Financial Statements for legal contingencies when the loss is considered probable and the amount can be reasonably estimated. The assessment is re-evaluated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accounting period and is based on all available information, including the impact of negotiations, settlements, rulings, advice of legal counsel, and other information and events pertaining to each case. Nevertheless, it is possible that additional future legal costs (including settlements, judgments, legal fees, and other related defense costs) could have a material adverse effect on the Company’s business, financial condition, or future results of operations.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Product Liability Litigation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currently named as a defendant in a number of individual product liability lawsuits filed in various state and federal courts. The plaintiffs generally allege that they or a family member underwent surgical procedures that utilized the da Vinci surgical system and sustained a variety of personal injuries and, in some cases, death as a result of such surgery.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cases raise a variety of allegations including, to varying degrees, that plaintiffs’ injuries resulted from purported defects in the da Vinci surgical system and/or failure on the Company’s part to provide adequate training resources to the healthcare professionals who performed plaintiffs’ surgeries. The cases further allege that the Company failed to adequately disclose and/or misrepresented the potential risks and/or benefits of the da Vinci surgical system. Plaintiffs also assert a variety of causes of action, including, for example, strict liability based on purported design defects, negligence, fraud, breach of express and implied warranties, unjust enrichment, and loss of consortium. Plaintiffs seek recovery for alleged personal injuries and, in many cases, punitive damages. The Company disputes these allegations and is defending against these claims.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estimate of the anticipated cost of resolving the pending cases is based on negotiations with attorneys for the claimants. The final outcome of the pending lawsuits and claims, and others that might arise, is dependent on many variables that are difficult to predict, and the ultimate cost associated with these product liability lawsuits and claims may be materially different than the amount of the current estimate and accruals and could have a material adverse effect on the Company’s business, financial condition, or future results of operations. Although there is a reasonable possibility that a loss in excess of the amount recognized exists, the Company is unable to estimate the possible loss or range of loss in excess of the amount recognized at this time.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Commercial Litigation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10, 2021, Surgical Instrument Service Company, Inc. (“SIS”) filed a complaint in the Northern District of California Court alleging antitrust claims against the Company relating to EndoWrist service, maintenance, and repair processes. The Court granted in part and denied in part the Company’s Motion to Dismiss, and discovery commenced. The Company filed an answer denying the antitrust allegations and filed counterclaims against SIS. The counterclaims allege that SIS violated the Federal Lanham Act, California’s Unfair Competition Law, and California’s False Advertising Law and that SIS is also liable to the Company for Unfair Competition and Tortious Interference with Contract. The parties filed summary judgment motions, and the Court held a hearing on these motions on September 7, 2023.</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31, 2024, the Court granted-in-part and denied-in-part both Intuitive’s and plaintiff’s motions for summary judgment. Trial in this matter commenced on January 6, 2025. On January 28, 2025, after the close of both plaintiff’s and Intuitive’s cases in chief, the Court found in Intuitive’s favor on all of SIS’s antitrust claims and stayed Intuitive’s counterclaims. On February 27, 2025, SIS filed a Notice of Appeal to the Ninth Circuit Court of Appeals. SIS filed its brief on July 23, 2025. The Company filed its response brief on October 29, 2025. SIS filed its reply brief on December 26, 2025. It is anticipated that oral argument will occur in April or May 2026. Based on currently available information, the Company is unable to make a reasonable estimate of loss or range of losses, if any, arising from this matter.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Three class action complaints were filed against the Company in the Northern District of California Court alleging antitrust allegations relating to the service and repair of certain instruments manufactured by the Company. A complaint by Larkin Community Hospital was filed on May 20, 2021, a complaint by Franciscan Alliance, Inc. and King County Public Hospital District No. 1 was filed on July 6, 2021, and a complaint by Kaleida Health was filed on July 8, 2021. The Court has consolidated the Franciscan Alliance, Inc. and King County Public Hospital District No. 1 and Kaleida Health cases with the Larkin Community Hospital case, which is now captioned on the Larkin docket as “In Re: da Vinci Surgical Robot Antitrust Litigation.” A Consolidated Amended Class Action Complaint has been filed on behalf of each plaintiff named in the earlier-filed cases. On January 14, 2022, Kaleida Health voluntarily dismissed itself as a party to this case. On January 18, 2022, the Company filed an answer against the plaintiffs in this matter, and discovery has commenced.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With regard to this class action case, on September 7, 2023, the Court heard argument on the parties’ respective motions for summary judgment and motions related to expert testimony. On March 31, 2024, the Court granted-in-part and denied-in-part plaintiffs’ motion for summary judgment on certain market definition issues, and denied Intuitive’s motion on the antitrust claims. In denying Intuitive’s motion, the Court declined to decide whether third-party companies were required to obtain 510(k) clearance for their services with respect to EndoWrist instruments, and in the absence of a formal ruling from the FDA on that question denied Intuitive’s motion for summary judgment challenging plaintiffs’ standing on that ground. There were additional rulings on the expert witness issues as well. In the summary judgment order, the Court ruled with plaintiffs that the da Vinci robot and EndoWrist instruments occupy separate product markets for antitrust purposes. The Court also ruled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is an antitrust aftermarket for the repair and replacement of EndoWrist instruments, and that Intuitive holds monopoly power in that aftermarket. The Court denied summary judgment for plaintiffs on the issue of whether soft-tissue surgical robots constitute a relevant antitrust market or are part of a larger market that includes laparoscopic and open surgery for antitrust purposes. On July 30, 2024, the Court granted Intuitive’s motion for reconsideration, vacating those portions of the Court’s March 31, 2024 Order granting summary judgment as to the definition of a U.S. market for EndoWrist instrument repair and replacement and Intuitive’s market power in such a market. On March 31, 2025, the Court granted plaintiff’s motion for class certification. No trial date has been scheduled for this matter. Based on currently available information, the Company is unable to make a reasonable estimate of loss or range of losses, if any, arising from this matter.</w:t>
      </w:r>
    </w:p>
    <w:p>
      <w:pPr>
        <w:pStyle w:val="TextBody"/>
        <w:bidi w:val="0"/>
        <w:spacing w:lineRule="auto" w:line="288" w:before="120" w:after="120"/>
        <w:ind w:left="0" w:right="0" w:firstLine="360"/>
        <w:jc w:val="both"/>
        <w:rPr/>
      </w:pPr>
      <w:r>
        <w:rPr>
          <w:rFonts w:ascii="Times New Roman;serif" w:hAnsi="Times New Roman;serif"/>
          <w:b w:val="false"/>
          <w:color w:val="000000"/>
          <w:sz w:val="20"/>
        </w:rPr>
        <w:t>On September 18, 2024, Restore Robotics Repairs (“Restore”) filed a complaint in the United States District Court for the Northern District of Florida alleging antitrust claims against the Company relating to the service and replacement of X/Xi EndoWrist instruments for use with the da Vinci X and Xi surgical systems. On December 9, 2024, Intuitive filed a motion to dismiss to which plaintiff responded by amending its complaint. Intuitive filed a motion to dismiss the first amended complaint on January 31, 2025. Plaintiff filed an opposition to Intuitive’s motion to dismiss on February 14, 2025, and Intuitive filed a reply on March 26, 2025. On November 7, 2025, the Court entered an Order granting Intuitive’s motion to dismiss. Plaintiff filed its notice of appeal to the 11</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Circuit Court of Appeals on November 29, 2025. Restore’s initial brief is due February 11, 2026. Based on currently available information, the Company is unable to make a reasonable estimate of loss or range of losses, if any, arising from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9.    STOCKHOLDERS’ EQUITY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December 31, 2025, the Board has authorized an aggregate of $13.0 billion of funding for the Company’s common stock Repurchase Program since its establishment in March 2009. The most recent authorization occurred in May 2025, when the Board increased the authorized amount available under the Repurchase Program to $4.0 billion, including amounts remaining under previous authorization. As of December 31, 2025, the remaining amount of share repurchases authorized by the Board under the Repurchase Program was approximately $1.7 billion.</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 repurchase activities (in millions, except per share amounts):</w:t>
      </w:r>
    </w:p>
    <w:tbl>
      <w:tblPr>
        <w:tblW w:w="5921" w:type="dxa"/>
        <w:jc w:val="left"/>
        <w:tblInd w:w="0" w:type="dxa"/>
        <w:tblLayout w:type="fixed"/>
        <w:tblCellMar>
          <w:top w:w="28" w:type="dxa"/>
          <w:left w:w="28" w:type="dxa"/>
          <w:bottom w:w="28" w:type="dxa"/>
          <w:right w:w="28" w:type="dxa"/>
        </w:tblCellMar>
      </w:tblPr>
      <w:tblGrid>
        <w:gridCol w:w="858"/>
        <w:gridCol w:w="754"/>
        <w:gridCol w:w="757"/>
        <w:gridCol w:w="211"/>
        <w:gridCol w:w="766"/>
        <w:gridCol w:w="109"/>
        <w:gridCol w:w="109"/>
        <w:gridCol w:w="109"/>
        <w:gridCol w:w="109"/>
        <w:gridCol w:w="211"/>
        <w:gridCol w:w="406"/>
        <w:gridCol w:w="109"/>
        <w:gridCol w:w="109"/>
        <w:gridCol w:w="109"/>
        <w:gridCol w:w="109"/>
        <w:gridCol w:w="211"/>
        <w:gridCol w:w="72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repurchased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shares repurchased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the par value method of accounting for its stock repurchases. As a result of share repurchase activities during the years ended December 31, 2025, 2024, and 2023, the Company reduced common stock and additional paid-in capital by an aggregate of $63 million, zero, and $19 million, respectively, and charged $2.2 billion, zero, and $0.4 billion, respectively, to retained earnings.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an excise tax on corporate stock repurchases, which is assessed as one percent of the fair market value of net stock repurchases. As of December 31, 2025, excise tax of $5.6 million was accrued for shares repurchased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Accumulated Other Comprehensive Income (Loss), Net of Tax, Attributable to Intuitive Surgical, Inc.</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net of tax, attributable to Intuitive Surgical, Inc. are as follows (in millions):</w:t>
      </w:r>
    </w:p>
    <w:tbl>
      <w:tblPr>
        <w:tblW w:w="10205" w:type="dxa"/>
        <w:jc w:val="left"/>
        <w:tblInd w:w="0" w:type="dxa"/>
        <w:tblLayout w:type="fixed"/>
        <w:tblCellMar>
          <w:top w:w="28" w:type="dxa"/>
          <w:left w:w="28" w:type="dxa"/>
          <w:bottom w:w="28" w:type="dxa"/>
          <w:right w:w="28" w:type="dxa"/>
        </w:tblCellMar>
      </w:tblPr>
      <w:tblGrid>
        <w:gridCol w:w="1192"/>
        <w:gridCol w:w="844"/>
        <w:gridCol w:w="841"/>
        <w:gridCol w:w="258"/>
        <w:gridCol w:w="625"/>
        <w:gridCol w:w="134"/>
        <w:gridCol w:w="109"/>
        <w:gridCol w:w="109"/>
        <w:gridCol w:w="109"/>
        <w:gridCol w:w="416"/>
        <w:gridCol w:w="1039"/>
        <w:gridCol w:w="217"/>
        <w:gridCol w:w="109"/>
        <w:gridCol w:w="109"/>
        <w:gridCol w:w="109"/>
        <w:gridCol w:w="235"/>
        <w:gridCol w:w="588"/>
        <w:gridCol w:w="123"/>
        <w:gridCol w:w="109"/>
        <w:gridCol w:w="109"/>
        <w:gridCol w:w="109"/>
        <w:gridCol w:w="351"/>
        <w:gridCol w:w="937"/>
        <w:gridCol w:w="181"/>
        <w:gridCol w:w="109"/>
        <w:gridCol w:w="109"/>
        <w:gridCol w:w="109"/>
        <w:gridCol w:w="211"/>
        <w:gridCol w:w="544"/>
        <w:gridCol w:w="161"/>
      </w:tblGrid>
      <w:tr>
        <w:trPr/>
        <w:tc>
          <w:tcPr>
            <w:tcW w:w="119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w:t>
              <w:br/>
              <w:t>on Hedge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w:t>
              <w:br/>
              <w:t>Gains (Losses) on</w:t>
              <w:br/>
              <w:t>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Gains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28"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2024</w:t>
            </w:r>
          </w:p>
        </w:tc>
      </w:tr>
      <w:tr>
        <w:trPr/>
        <w:tc>
          <w:tcPr>
            <w:tcW w:w="287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w:t>
              <w:br/>
              <w:t>on Hedge</w:t>
              <w:br/>
              <w:t>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Unrealized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Losses 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w:t>
              <w:br/>
              <w:t>Currency</w:t>
              <w:br/>
              <w:t>Translation</w:t>
              <w:br/>
              <w:t>Gains</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Employee Benefit Plan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 (loss)</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current-period other comprehensive income (loss)</w:t>
            </w:r>
          </w:p>
        </w:tc>
        <w:tc>
          <w:tcPr>
            <w:tcW w:w="8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impacts for amounts recognized in other comprehensive income (loss) before reclassifications were as follows (in millions):</w:t>
      </w:r>
    </w:p>
    <w:tbl>
      <w:tblPr>
        <w:tblW w:w="8974" w:type="dxa"/>
        <w:jc w:val="left"/>
        <w:tblInd w:w="0" w:type="dxa"/>
        <w:tblLayout w:type="fixed"/>
        <w:tblCellMar>
          <w:top w:w="28" w:type="dxa"/>
          <w:left w:w="28" w:type="dxa"/>
          <w:bottom w:w="28" w:type="dxa"/>
          <w:right w:w="28" w:type="dxa"/>
        </w:tblCellMar>
      </w:tblPr>
      <w:tblGrid>
        <w:gridCol w:w="2391"/>
        <w:gridCol w:w="2100"/>
        <w:gridCol w:w="2108"/>
        <w:gridCol w:w="219"/>
        <w:gridCol w:w="609"/>
        <w:gridCol w:w="113"/>
        <w:gridCol w:w="113"/>
        <w:gridCol w:w="113"/>
        <w:gridCol w:w="113"/>
        <w:gridCol w:w="219"/>
        <w:gridCol w:w="500"/>
        <w:gridCol w:w="113"/>
        <w:gridCol w:w="109"/>
        <w:gridCol w:w="154"/>
      </w:tblGrid>
      <w:tr>
        <w:trPr/>
        <w:tc>
          <w:tcPr>
            <w:tcW w:w="2391"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Available-for-sale securities</w:t>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for net gains recorded in other comprehensive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tax impacts for amounts recognized in other comprehensive income (loss) before reclassifications for hedge instruments, foreign currency translation gains (losses), and employee benefit plans in 2025 and 2024 were not material to the Company’s Consolidated Financial Statements. The tax impacts for amounts reclassified from accumulated other comprehensive loss relating to hedge instruments, available-for-sale securities, foreign currency translation gains (losses), and employee benefit plans in 2025 and 2024 were not material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10.    SHARE-BASED COMPENSATION</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Plans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2010 Incentive Award Plan. </w:t>
      </w:r>
      <w:r>
        <w:rPr>
          <w:rFonts w:ascii="Times New Roman;serif" w:hAnsi="Times New Roman;serif"/>
          <w:b w:val="false"/>
          <w:color w:val="000000"/>
          <w:sz w:val="20"/>
        </w:rPr>
        <w:t>In April 2010, the Company’s stockholders approved the 2010 Incentive Award Plan (“2010 Plan”). Under this plan, the Company can issue RSUs, nonqualified stock options (“NSOs”), and PSUs to employees, non-employee directors, and consultants. Equity awards granted to employees and non-employee directors include a mix of RSUs, stock options, and, as applicable, PSUs. The 2010 Plan generally permits NSOs to be granted at no less than the fair market value of the common stock on the date of grant. Prior to 2022, NSOs were granted with terms of 10 years from the date of the grant. In January 2022, the Company changed the term of its new NSO grants to 7 years from the date of the grant. In May 2025, the Company’s shareholders approved an amended and restated 2010 Incentive Award Plan to provide for an increase in the number of shares of common stock reserved for issuance thereunder from 115,350,000 to 120,350,000. The 2010 Plan expires in 2035.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approximately 22.1 million shares were reserved for future issuance under the 2010 Plan. A maximum of approximately 9.6 million of these shares can be awarded as RSUs.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2009 Employment Commencement Incentive Plan. </w:t>
      </w:r>
      <w:r>
        <w:rPr>
          <w:rFonts w:ascii="Times New Roman;serif" w:hAnsi="Times New Roman;serif"/>
          <w:b w:val="false"/>
          <w:color w:val="000000"/>
          <w:sz w:val="20"/>
        </w:rPr>
        <w:t>In October 2009, the Board adopted the 2009 Employment Commencement Incentive Plan (“New Hire Plan”). In April 2015, the Board of Directors amended and restated the New Hire Plan to provide for an increase in the number of shares of common stock authorized for issuance pursuant to awards granted under the New Hire Plan from 10,395,000 to 13,095,000. The New Hire Plan expired in October 2019 and, therefore, there are no shares reserved for future grants under the New Hire Plan. However, awards granted prior to the plan’s expiration continue to remain outstanding until their original expiration date.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New Hire Plan provided for the shares to be used exclusively for the grant of RSUs and NSOs to new employees (“New Hire Options”), who were not previously employees or non-employee directors of the Company. Prior to expiration of the plan, options were granted at an exercise price not less than the fair market value of the stock on the date of grant with a term not to exceed 10 years.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Restricted Stock Units. </w:t>
      </w:r>
      <w:r>
        <w:rPr>
          <w:rFonts w:ascii="Times New Roman;serif" w:hAnsi="Times New Roman;serif"/>
          <w:b w:val="false"/>
          <w:color w:val="000000"/>
          <w:sz w:val="20"/>
        </w:rPr>
        <w:t>The RSUs granted to employees vest in one-fourth increments annually over a four-year period. The RSUs granted to existing non-employee directors vest one year from the date of grant or at the next Annual Shareholders Meeting, whichever comes first. New non-employee directors receive pro-rated RSU grants that vest on the same term as the annual RSU grants. The number of shares issued on the date the RSUs vest is net of the minimum statutory tax withholdings, which are paid in cash to the appropriate taxing authorities on behalf of the Company’s employees.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Nonqualified Stock Options. </w:t>
      </w:r>
      <w:r>
        <w:rPr>
          <w:rFonts w:ascii="Times New Roman;serif" w:hAnsi="Times New Roman;serif"/>
          <w:b w:val="false"/>
          <w:color w:val="000000"/>
          <w:sz w:val="20"/>
        </w:rPr>
        <w:t>From 2020 to 2022, annual NSO grants were made to employees on the last business day of February and on the same date in August or, if that date is not a business day, the next business day. In 2023, the Company changed the timing of its bi-annual NSO grants to the last trading day of February and August 10 or, if that date is not a trading day, the next trading day.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February NSO grants vest 1/8 upon completion of 6 months of service and 1/48 per month thereafter for all grants prior to 2023 and vest 1/8 on August 10 and 1/48 per month thereafter for grants in 2023. All August NSO grants vest 7/48 at the end of one month and 1/48 per month thereafter through a 3.5-year vesting period. NSOs granted to new hires generally vest 1/4 upon completion of one year of service and 1/48 per month thereafter. NSOs granted to existing non-employee directors vest one year from the date of grant or at the next Annual Shareholders Meeting, whichever comes first. Option vesting terms are determined by the Board and, in the future, may vary from past practices.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Performance Stock Units. </w:t>
      </w:r>
      <w:r>
        <w:rPr>
          <w:rFonts w:ascii="Times New Roman;serif" w:hAnsi="Times New Roman;serif"/>
          <w:b w:val="false"/>
          <w:color w:val="000000"/>
          <w:sz w:val="20"/>
        </w:rPr>
        <w:t>The PSUs granted to officers and other key employees are subject to three-year cliff vesting and pre-established, quantitative goals. Whether any PSUs vest, and the amount that do vest, is tied to completion of service over three years and the achievement of three equally-weighted, quantitative goals that directly align with or help drive the Company’s strategy and long-term total shareholder return.</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2000 Non-Employee Directors’ Stock Option Plan. </w:t>
      </w:r>
      <w:r>
        <w:rPr>
          <w:rFonts w:ascii="Times New Roman;serif" w:hAnsi="Times New Roman;serif"/>
          <w:b w:val="false"/>
          <w:color w:val="000000"/>
          <w:sz w:val="20"/>
        </w:rPr>
        <w:t>In March 2000, the Board adopted the 2000 Non-Employee Directors’ Stock Option Plan (the “Directors’ Plan”). In October 2009, the automatic evergreen increase provisions were eliminated so that no further automatic increases would be made to the number of shares reserved for issuance under the Directors’ Plan. In addition, the common stock authorized for issuance under the Directors’ Plan was reduced to 1,350,000. The Directors’ Plan was terminated in November 2020 and, therefore, there are no shares reserved for future grants under the Directors’ Plan. However, options granted prior to the plan’s termination continue to remain outstanding until their original expiration date. Prior to termination, options were granted at an exercise price not less than the fair market value of the stock on the date of grant with a term not to exceed 10 years. Prior to 2016, initial stock option grants to new non-employee directors vested over a three-year period with 1/3 of the shares vesting after one year from the date of grant and 1/36 of the shares vesting monthly thereafter. Annual stock option grants vested one year from the date of the grant. From 2016 until termination of the Directors’ Plan, new non-employee directors received pro-rated stock option grants that vested on the same term as the annual stock option grants.</w:t>
      </w:r>
    </w:p>
    <w:p>
      <w:pPr>
        <w:pStyle w:val="TextBody"/>
        <w:bidi w:val="0"/>
        <w:spacing w:lineRule="auto" w:line="288" w:before="0" w:after="120"/>
        <w:ind w:left="0" w:right="0" w:firstLine="360"/>
        <w:jc w:val="both"/>
        <w:rPr/>
      </w:pPr>
      <w:r>
        <w:rPr>
          <w:rFonts w:ascii="Times New Roman;serif" w:hAnsi="Times New Roman;serif"/>
          <w:b w:val="false"/>
          <w:i/>
          <w:color w:val="000000"/>
          <w:sz w:val="20"/>
        </w:rPr>
        <w:t xml:space="preserve">2000 Employee Stock Purchase Plan. </w:t>
      </w:r>
      <w:r>
        <w:rPr>
          <w:rFonts w:ascii="Times New Roman;serif" w:hAnsi="Times New Roman;serif"/>
          <w:b w:val="false"/>
          <w:color w:val="000000"/>
          <w:sz w:val="20"/>
        </w:rPr>
        <w:t xml:space="preserve">In March 2000, the Board adopted the ESPP. Employees are generally eligible to participate in the ESPP if they are customarily employed by the Company for more than 20 hours per week and more than 5 months in a calendar year and are not 5% stockholders of the Company. Under the ESPP, eligible employees may select a rate of payroll deduction up to 15% of their eligible compensation subject to certain maximum purchase limitations. The duration for each offering period is 24 months and is divided into four purchase periods of approximately six months in length. Offerings are concurrent. The purchase price of the shares under the offering is the lesser of 85% of the fair market value of the shares on the offering date or 85% of the fair market value of the shares on the purchase date. A two-year look-back feature in the ESPP causes the offering period to reset if the fair value of the Company’s common stock on the first or last day of the purchase period is less than that on the original offering date. ESPP purchases by employees are settled with newly-issued common stock from the ESPP’s previously authorized and available pool of shares. In April 2024, the Company’s stockholders approved an amended and restated ESPP to provide for an increase in the number of shares of common stock reserved for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from 22,770,945 to 26,770,945. As of December 31, 2025, there were approximately 4.9 million</w:t>
      </w:r>
      <w:r>
        <w:rPr>
          <w:color w:val="000000"/>
          <w:shd w:fill="FFFFFF" w:val="clear"/>
        </w:rPr>
        <w:t xml:space="preserve"> </w:t>
      </w:r>
      <w:r>
        <w:rPr>
          <w:rFonts w:ascii="Times New Roman;serif" w:hAnsi="Times New Roman;serif"/>
          <w:b w:val="false"/>
          <w:color w:val="000000"/>
          <w:sz w:val="20"/>
          <w:shd w:fill="FFFFFF" w:val="clear"/>
        </w:rPr>
        <w:t>share</w:t>
      </w:r>
      <w:r>
        <w:rPr>
          <w:rFonts w:ascii="Times New Roman;serif" w:hAnsi="Times New Roman;serif"/>
          <w:b w:val="false"/>
          <w:color w:val="000000"/>
          <w:sz w:val="20"/>
        </w:rPr>
        <w:t>s reserved for future issuance under the ESPP.</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RSU activity for the year ended December 31, 2025, was as follows (in millions, except per share amounts):</w:t>
      </w:r>
    </w:p>
    <w:tbl>
      <w:tblPr>
        <w:tblW w:w="7286" w:type="dxa"/>
        <w:jc w:val="left"/>
        <w:tblInd w:w="0" w:type="dxa"/>
        <w:tblLayout w:type="fixed"/>
        <w:tblCellMar>
          <w:top w:w="28" w:type="dxa"/>
          <w:left w:w="28" w:type="dxa"/>
          <w:bottom w:w="28" w:type="dxa"/>
          <w:right w:w="28" w:type="dxa"/>
        </w:tblCellMar>
      </w:tblPr>
      <w:tblGrid>
        <w:gridCol w:w="1303"/>
        <w:gridCol w:w="1144"/>
        <w:gridCol w:w="1152"/>
        <w:gridCol w:w="239"/>
        <w:gridCol w:w="241"/>
        <w:gridCol w:w="211"/>
        <w:gridCol w:w="109"/>
        <w:gridCol w:w="109"/>
        <w:gridCol w:w="109"/>
        <w:gridCol w:w="518"/>
        <w:gridCol w:w="1772"/>
        <w:gridCol w:w="379"/>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Grant Date Fair Value Per Share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2024</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314.39 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569.90 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296.23 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371.69 </w:t>
            </w:r>
          </w:p>
        </w:tc>
        <w:tc>
          <w:tcPr>
            <w:tcW w:w="3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412.46 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As of December 31, 2025, 4.4 million shares underlying RSUs were expected to vest with an aggregate intrinsic value of $2.49 billion. The aggregate vesting date fair value of RSUs vested, excluding PSUs vested, was $1.09 billion, </w:t>
      </w:r>
      <w:r>
        <w:rPr>
          <w:rFonts w:ascii="Times New Roman;serif" w:hAnsi="Times New Roman;serif"/>
          <w:b w:val="false"/>
          <w:color w:val="000000"/>
          <w:sz w:val="20"/>
          <w:shd w:fill="FFFFFF" w:val="clear"/>
        </w:rPr>
        <w:t>$0.73 billion</w:t>
      </w:r>
      <w:r>
        <w:rPr>
          <w:rFonts w:ascii="Times New Roman;serif" w:hAnsi="Times New Roman;serif"/>
          <w:b w:val="false"/>
          <w:color w:val="000000"/>
          <w:sz w:val="20"/>
        </w:rPr>
        <w:t>, and $0.45 billion during the years ended December 31, 2025, 2024, and 2023, respectively.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NSO activity for the year ended December 31, 2025, was as follows (in millions, except per share amounts):</w:t>
      </w:r>
    </w:p>
    <w:tbl>
      <w:tblPr>
        <w:tblW w:w="7788" w:type="dxa"/>
        <w:jc w:val="left"/>
        <w:tblInd w:w="0" w:type="dxa"/>
        <w:tblLayout w:type="fixed"/>
        <w:tblCellMar>
          <w:top w:w="28" w:type="dxa"/>
          <w:left w:w="28" w:type="dxa"/>
          <w:bottom w:w="28" w:type="dxa"/>
          <w:right w:w="28" w:type="dxa"/>
        </w:tblCellMar>
      </w:tblPr>
      <w:tblGrid>
        <w:gridCol w:w="1022"/>
        <w:gridCol w:w="898"/>
        <w:gridCol w:w="900"/>
        <w:gridCol w:w="360"/>
        <w:gridCol w:w="360"/>
        <w:gridCol w:w="361"/>
        <w:gridCol w:w="141"/>
        <w:gridCol w:w="141"/>
        <w:gridCol w:w="141"/>
        <w:gridCol w:w="672"/>
        <w:gridCol w:w="2300"/>
        <w:gridCol w:w="492"/>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Options Outstanding</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br/>
              <w:t>Outstanding</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Exercise Price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192.90 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forfeited/expired</w:t>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244.38 </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7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208.18 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of stock options exercised under the Company’s stock plans determined as of the date of option exercise was $640 million, $789 million, and $476 million during the years ended December 31, 2025, 2024, and 2023, respectively. Cash received from stock option exercises for the years ended December 31, 2025, 2024, and 2023, was $223 million, $315 million, and $192 million, respectively. The income tax benefit from stock options exercised was $141 million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significant ranges of outstanding and exercisable options as of December 31, 2025 (number of shares and aggregate intrinsic value in millions):</w:t>
      </w:r>
    </w:p>
    <w:tbl>
      <w:tblPr>
        <w:tblW w:w="13180" w:type="dxa"/>
        <w:jc w:val="left"/>
        <w:tblInd w:w="0" w:type="dxa"/>
        <w:tblLayout w:type="fixed"/>
        <w:tblCellMar>
          <w:top w:w="28" w:type="dxa"/>
          <w:left w:w="28" w:type="dxa"/>
          <w:bottom w:w="28" w:type="dxa"/>
          <w:right w:w="28" w:type="dxa"/>
        </w:tblCellMar>
      </w:tblPr>
      <w:tblGrid>
        <w:gridCol w:w="435"/>
        <w:gridCol w:w="382"/>
        <w:gridCol w:w="384"/>
        <w:gridCol w:w="109"/>
        <w:gridCol w:w="109"/>
        <w:gridCol w:w="109"/>
        <w:gridCol w:w="260"/>
        <w:gridCol w:w="260"/>
        <w:gridCol w:w="261"/>
        <w:gridCol w:w="109"/>
        <w:gridCol w:w="109"/>
        <w:gridCol w:w="109"/>
        <w:gridCol w:w="490"/>
        <w:gridCol w:w="490"/>
        <w:gridCol w:w="491"/>
        <w:gridCol w:w="109"/>
        <w:gridCol w:w="109"/>
        <w:gridCol w:w="109"/>
        <w:gridCol w:w="298"/>
        <w:gridCol w:w="1018"/>
        <w:gridCol w:w="155"/>
        <w:gridCol w:w="109"/>
        <w:gridCol w:w="109"/>
        <w:gridCol w:w="109"/>
        <w:gridCol w:w="211"/>
        <w:gridCol w:w="616"/>
        <w:gridCol w:w="109"/>
        <w:gridCol w:w="109"/>
        <w:gridCol w:w="109"/>
        <w:gridCol w:w="109"/>
        <w:gridCol w:w="260"/>
        <w:gridCol w:w="260"/>
        <w:gridCol w:w="261"/>
        <w:gridCol w:w="109"/>
        <w:gridCol w:w="109"/>
        <w:gridCol w:w="109"/>
        <w:gridCol w:w="490"/>
        <w:gridCol w:w="490"/>
        <w:gridCol w:w="491"/>
        <w:gridCol w:w="109"/>
        <w:gridCol w:w="109"/>
        <w:gridCol w:w="109"/>
        <w:gridCol w:w="298"/>
        <w:gridCol w:w="1018"/>
        <w:gridCol w:w="155"/>
        <w:gridCol w:w="109"/>
        <w:gridCol w:w="109"/>
        <w:gridCol w:w="109"/>
        <w:gridCol w:w="211"/>
        <w:gridCol w:w="61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Exercisable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 of</w:t>
              <w:br/>
              <w:t>Exercise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br/>
              <w:t>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Remaining</w:t>
              <w:br/>
              <w:t>Contractual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w:t>
              <w:br/>
              <w:t>Exercise 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 (1)</w:t>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$59.46-$85.24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$90.49-$161.78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$163.77-$174.26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$175.53-$182.83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$182.90-$229.39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$235.20-$245.60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$249.83-$304.67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$313.64-$340.27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$341.16-$341.16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$347.42-$347.42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aggregate intrinsic value represents the total pre-tax intrinsic value, based on the Company’s closing stock price of $566.36 as of December 31, 2025, which would have been received by the option holders had all in-the-money option holders exercised their options as of that date.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a total of 5.4 million shares underlying stock options vested and expected to vest had a weighted-average remaining contractual life of 3.5 years, an aggregate intrinsic value of $1.94 billion, and a weighted-average exercise price per share of $208.02.</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Performance Stock Units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has three types of active PSU awards: the 2025 PSU awards, the 2024 PSU awards, and the 2023 PSU awards. The 2025 PSU award metrics are focused on relative average adjusted operating margin percentage over the performance period compared to a peer group, da Vinci and Ion procedure growth in 2026 compared to 2024, and da Vinci and Ion procedure growth in 2027 compared to 2024. The 2024 PSU award metrics are focused on relative total shareholder return (“TSR”), da Vinci and Ion procedure growth in 2025 compared to 2023, and da Vinci and Ion procedure growth in 2026 compared to 2023. The 2023 PSU award metrics are focused on relative TSR, da Vinci and Ion procedure growth in 2024 compared to 2022, and da Vinci and Ion procedure growth in 2025 compared to 2022.</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TSR metric is considered a market condition, and the expense is determined at the grant date. The procedure growth and relative average adjusted operating margin percentage metrics are considered performance conditions, and the expense is recorded based on the forecasted performance, which is reassessed each reporting period based on the probability of achieving the performance conditions. The number of shares earned at the end of the three-year period will vary, based on actual performance, from 0% to 125% of the target number of PSUs granted. PSUs are subject to forfeiture if employment terminates prior to the vesting date. PSUs are not considered issued or outstanding shares of the Company.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calculates the fair value for each component of the PSUs individually. The fair value for the component with the TSR metric was determined using Monte Carlo simulation. The fair value per share for the components with the procedure growth and relative average adjusted operating margin percentage metrics is equal to the closing stock price on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PSU activity for the year ended December 31, 2025, was as follows (in millions, except per share amounts):</w:t>
      </w:r>
    </w:p>
    <w:tbl>
      <w:tblPr>
        <w:tblW w:w="7286" w:type="dxa"/>
        <w:jc w:val="left"/>
        <w:tblInd w:w="0" w:type="dxa"/>
        <w:tblLayout w:type="fixed"/>
        <w:tblCellMar>
          <w:top w:w="28" w:type="dxa"/>
          <w:left w:w="28" w:type="dxa"/>
          <w:bottom w:w="28" w:type="dxa"/>
          <w:right w:w="28" w:type="dxa"/>
        </w:tblCellMar>
      </w:tblPr>
      <w:tblGrid>
        <w:gridCol w:w="1303"/>
        <w:gridCol w:w="1144"/>
        <w:gridCol w:w="1152"/>
        <w:gridCol w:w="239"/>
        <w:gridCol w:w="241"/>
        <w:gridCol w:w="211"/>
        <w:gridCol w:w="109"/>
        <w:gridCol w:w="109"/>
        <w:gridCol w:w="109"/>
        <w:gridCol w:w="518"/>
        <w:gridCol w:w="1772"/>
        <w:gridCol w:w="379"/>
      </w:tblGrid>
      <w:tr>
        <w:trPr/>
        <w:tc>
          <w:tcPr>
            <w:tcW w:w="130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sz w:val="18"/>
              </w:rPr>
              <w:br/>
            </w: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w:t>
              <w:br/>
              <w:t>Grant Date Fair Value Per Share</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2024</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306.94 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575.73 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294.89 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change</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268.39 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366.96 </w:t>
            </w:r>
          </w:p>
        </w:tc>
        <w:tc>
          <w:tcPr>
            <w:tcW w:w="3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balance as of December 31, 2025</w:t>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374.67 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0.3 million shares underlying PSUs were expected to vest with an aggregate intrinsic value of $175 million. The aggregate vesting date fair value of PSUs vested was $46 million during the year ended December 31, 2025 and $4 million during the year ended December 31, 2024. No PSUs vested in 2023.</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20"/>
        <w:ind w:left="0" w:right="0" w:firstLine="360"/>
        <w:jc w:val="both"/>
        <w:rPr/>
      </w:pPr>
      <w:r>
        <w:rPr>
          <w:rFonts w:ascii="Times New Roman;serif" w:hAnsi="Times New Roman;serif"/>
          <w:b w:val="false"/>
          <w:color w:val="000000"/>
          <w:sz w:val="20"/>
        </w:rPr>
        <w:t>Under the ESPP, employees purchased approximately 0.4 million</w:t>
      </w:r>
      <w:r>
        <w:rPr>
          <w:rFonts w:ascii="Times New Roman;serif" w:hAnsi="Times New Roman;serif"/>
          <w:b w:val="false"/>
          <w:color w:val="000000"/>
          <w:sz w:val="20"/>
          <w:shd w:fill="FFFFFF" w:val="clear"/>
        </w:rPr>
        <w:t>, 0.6 million, and 0.5 million shares</w:t>
      </w:r>
      <w:r>
        <w:rPr>
          <w:rFonts w:ascii="Times New Roman;serif" w:hAnsi="Times New Roman;serif"/>
          <w:b w:val="false"/>
          <w:color w:val="000000"/>
          <w:sz w:val="20"/>
        </w:rPr>
        <w:t>, representing a</w:t>
      </w:r>
      <w:r>
        <w:rPr>
          <w:rFonts w:ascii="Times New Roman;serif" w:hAnsi="Times New Roman;serif"/>
          <w:b w:val="false"/>
          <w:color w:val="000000"/>
          <w:sz w:val="20"/>
          <w:shd w:fill="FFFFFF" w:val="clear"/>
        </w:rPr>
        <w:t xml:space="preserve">pproximately </w:t>
      </w:r>
      <w:r>
        <w:rPr>
          <w:rFonts w:ascii="Times New Roman;serif" w:hAnsi="Times New Roman;serif"/>
          <w:b w:val="false"/>
          <w:color w:val="000000"/>
          <w:sz w:val="20"/>
        </w:rPr>
        <w:t>$130 million</w:t>
      </w:r>
      <w:r>
        <w:rPr>
          <w:rFonts w:ascii="Times New Roman;serif" w:hAnsi="Times New Roman;serif"/>
          <w:b w:val="false"/>
          <w:color w:val="000000"/>
          <w:sz w:val="20"/>
          <w:shd w:fill="FFFFFF" w:val="clear"/>
        </w:rPr>
        <w:t>, $115 million</w:t>
      </w:r>
      <w:r>
        <w:rPr>
          <w:rFonts w:ascii="Times New Roman;serif" w:hAnsi="Times New Roman;serif"/>
          <w:b w:val="false"/>
          <w:color w:val="000000"/>
          <w:sz w:val="20"/>
        </w:rPr>
        <w:t>, and $105 million in employee contributions for the years ended December 31, 2025, 2024, and 2023, respectively.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share-based compensation expense (in millions):</w:t>
      </w:r>
    </w:p>
    <w:tbl>
      <w:tblPr>
        <w:tblW w:w="8157" w:type="dxa"/>
        <w:jc w:val="left"/>
        <w:tblInd w:w="0" w:type="dxa"/>
        <w:tblLayout w:type="fixed"/>
        <w:tblCellMar>
          <w:top w:w="28" w:type="dxa"/>
          <w:left w:w="28" w:type="dxa"/>
          <w:bottom w:w="28" w:type="dxa"/>
          <w:right w:w="28" w:type="dxa"/>
        </w:tblCellMar>
      </w:tblPr>
      <w:tblGrid>
        <w:gridCol w:w="1684"/>
        <w:gridCol w:w="1481"/>
        <w:gridCol w:w="1485"/>
        <w:gridCol w:w="211"/>
        <w:gridCol w:w="616"/>
        <w:gridCol w:w="109"/>
        <w:gridCol w:w="109"/>
        <w:gridCol w:w="109"/>
        <w:gridCol w:w="109"/>
        <w:gridCol w:w="211"/>
        <w:gridCol w:w="616"/>
        <w:gridCol w:w="109"/>
        <w:gridCol w:w="109"/>
        <w:gridCol w:w="109"/>
        <w:gridCol w:w="109"/>
        <w:gridCol w:w="211"/>
        <w:gridCol w:w="61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revenue—product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revenue—service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before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 after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vAlign w:val="center"/>
          </w:tcPr>
          <w:p>
            <w:pPr>
              <w:pStyle w:val="TableContents"/>
              <w:bidi w:val="0"/>
              <w:spacing w:before="0" w:after="283"/>
              <w:jc w:val="left"/>
              <w:rPr>
                <w:sz w:val="4"/>
                <w:szCs w:val="4"/>
              </w:rPr>
            </w:pPr>
            <w:r>
              <w:rPr>
                <w:sz w:val="4"/>
                <w:szCs w:val="4"/>
              </w:rPr>
            </w:r>
          </w:p>
        </w:tc>
        <w:tc>
          <w:tcPr>
            <w:tcW w:w="3507" w:type="dxa"/>
            <w:gridSpan w:val="15"/>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years ended December 31, 2025, 2024, and 2023, stock-based compensation expense capitalized to our Consolidated Balance Sheets was $126.8 million, $98.9 million, and $84.3 million,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Black-Scholes-Merton option-pricing model is used to estimate the fair value of stock options granted under the Company’s share-based compensation plans and the rights to acquire stock granted under the ESPP. The weighted-average estimated fair values of stock options and the rights to acquire stock under the ESPP, as well as the weighted-average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assumptions used in calculating the fair values of stock options and the rights to acquire stock under the ESPP that were granted during the years ended December 31, 2025, 2024, and 2023, were as follows:</w:t>
      </w:r>
    </w:p>
    <w:tbl>
      <w:tblPr>
        <w:tblW w:w="5312" w:type="dxa"/>
        <w:jc w:val="left"/>
        <w:tblInd w:w="0" w:type="dxa"/>
        <w:tblLayout w:type="fixed"/>
        <w:tblCellMar>
          <w:top w:w="28" w:type="dxa"/>
          <w:left w:w="28" w:type="dxa"/>
          <w:bottom w:w="28" w:type="dxa"/>
          <w:right w:w="28" w:type="dxa"/>
        </w:tblCellMar>
      </w:tblPr>
      <w:tblGrid>
        <w:gridCol w:w="756"/>
        <w:gridCol w:w="660"/>
        <w:gridCol w:w="668"/>
        <w:gridCol w:w="259"/>
        <w:gridCol w:w="259"/>
        <w:gridCol w:w="263"/>
        <w:gridCol w:w="140"/>
        <w:gridCol w:w="140"/>
        <w:gridCol w:w="140"/>
        <w:gridCol w:w="259"/>
        <w:gridCol w:w="259"/>
        <w:gridCol w:w="263"/>
        <w:gridCol w:w="140"/>
        <w:gridCol w:w="140"/>
        <w:gridCol w:w="140"/>
        <w:gridCol w:w="240"/>
        <w:gridCol w:w="240"/>
        <w:gridCol w:w="346"/>
      </w:tblGrid>
      <w:tr>
        <w:trPr/>
        <w:tc>
          <w:tcPr>
            <w:tcW w:w="7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RSUs</w:t>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grant date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$569.90</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$392.89</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$237.37</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 OPTIONS</w:t>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grant date</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$77.45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PSUs</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grant date</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$575.73</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$395.92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$240.45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ESPP</w:t>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at grant date</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$154.69</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$130.00</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$89.42</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share-based compensation expense recognized in the Consolidated Statements of Income during the years ended December 31, 2025, 2024, and 2023, is based on awards ultimately expected to vest, it has been reduced for estimated forfeitures.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$1.25 billion, $28 million, $53 million, and $38 million of total unrecognized compensation expense related to unvested RSUs, unvested stock options, unvested PSUs, and rights granted to acquire common stock under the ESPP, respectively. The unrecognized compensation expense is expected to be recognized over a weighted-average period of 2.2 years for unvested RSUs, 1.0 year for unvested stock options, 1.0 year for unvested PSUs, and 1.0 year for rights granted to acquire common stock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11.    INCOME TAXES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before provision for income taxes for the years ended December 31, 2025, 2024, and 2023, consisted of the following (in millions):</w:t>
      </w:r>
    </w:p>
    <w:tbl>
      <w:tblPr>
        <w:tblW w:w="7916" w:type="dxa"/>
        <w:jc w:val="left"/>
        <w:tblInd w:w="0" w:type="dxa"/>
        <w:tblLayout w:type="fixed"/>
        <w:tblCellMar>
          <w:top w:w="28" w:type="dxa"/>
          <w:left w:w="28" w:type="dxa"/>
          <w:bottom w:w="28" w:type="dxa"/>
          <w:right w:w="28" w:type="dxa"/>
        </w:tblCellMar>
      </w:tblPr>
      <w:tblGrid>
        <w:gridCol w:w="1428"/>
        <w:gridCol w:w="1252"/>
        <w:gridCol w:w="1279"/>
        <w:gridCol w:w="211"/>
        <w:gridCol w:w="766"/>
        <w:gridCol w:w="109"/>
        <w:gridCol w:w="109"/>
        <w:gridCol w:w="109"/>
        <w:gridCol w:w="109"/>
        <w:gridCol w:w="211"/>
        <w:gridCol w:w="766"/>
        <w:gridCol w:w="109"/>
        <w:gridCol w:w="109"/>
        <w:gridCol w:w="109"/>
        <w:gridCol w:w="109"/>
        <w:gridCol w:w="211"/>
        <w:gridCol w:w="76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before provision for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for the years ended December 31, 2025, 2024, and 2023, consisted of the following (in millions):</w:t>
      </w:r>
    </w:p>
    <w:tbl>
      <w:tblPr>
        <w:tblW w:w="7151" w:type="dxa"/>
        <w:jc w:val="left"/>
        <w:tblInd w:w="0" w:type="dxa"/>
        <w:tblLayout w:type="fixed"/>
        <w:tblCellMar>
          <w:top w:w="28" w:type="dxa"/>
          <w:left w:w="28" w:type="dxa"/>
          <w:bottom w:w="28" w:type="dxa"/>
          <w:right w:w="28" w:type="dxa"/>
        </w:tblCellMar>
      </w:tblPr>
      <w:tblGrid>
        <w:gridCol w:w="1319"/>
        <w:gridCol w:w="1158"/>
        <w:gridCol w:w="1167"/>
        <w:gridCol w:w="211"/>
        <w:gridCol w:w="616"/>
        <w:gridCol w:w="109"/>
        <w:gridCol w:w="109"/>
        <w:gridCol w:w="109"/>
        <w:gridCol w:w="109"/>
        <w:gridCol w:w="211"/>
        <w:gridCol w:w="616"/>
        <w:gridCol w:w="109"/>
        <w:gridCol w:w="109"/>
        <w:gridCol w:w="109"/>
        <w:gridCol w:w="109"/>
        <w:gridCol w:w="211"/>
        <w:gridCol w:w="61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income tax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income tax expense (benefit)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OBBBA was enacted, introducing amendments to U.S. tax laws with various effective dates from 2025 to 2027. The changes introduced by OBBBA did not have a material impact on the Company’s effective tax rate for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provision for income taxes for 2023 reflected Swiss tax benefits of $92.3 million, net of a $67.3 million valuation allowance, related to certain tax assets recorded by our Swiss entity. In addition, a one-time net benefit of $67.1 million was recorded from the re-measurement of the Company’s Swiss deferred tax assets resulting from the Swiss cantonal tax rate increase enacted in December 2023 for years after 2024 as well as a Swiss cantonal tax rate increase from the discontinuation of the Company’s 2017 Swiss tax ruling, which was deemed effective as of January 1, 2023.</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rate to the Company’s effective tax rate for the year ended December 31, 2025, subsequent to the adoption of ASU 2023-09, including the amount and percentage of income before taxes, was as follows (dollars in millions):</w:t>
      </w:r>
    </w:p>
    <w:tbl>
      <w:tblPr>
        <w:tblW w:w="7951" w:type="dxa"/>
        <w:jc w:val="left"/>
        <w:tblInd w:w="0" w:type="dxa"/>
        <w:tblLayout w:type="fixed"/>
        <w:tblCellMar>
          <w:top w:w="28" w:type="dxa"/>
          <w:left w:w="28" w:type="dxa"/>
          <w:bottom w:w="28" w:type="dxa"/>
          <w:right w:w="28" w:type="dxa"/>
        </w:tblCellMar>
      </w:tblPr>
      <w:tblGrid>
        <w:gridCol w:w="1741"/>
        <w:gridCol w:w="1534"/>
        <w:gridCol w:w="1540"/>
        <w:gridCol w:w="301"/>
        <w:gridCol w:w="879"/>
        <w:gridCol w:w="155"/>
        <w:gridCol w:w="155"/>
        <w:gridCol w:w="155"/>
        <w:gridCol w:w="155"/>
        <w:gridCol w:w="272"/>
        <w:gridCol w:w="272"/>
        <w:gridCol w:w="792"/>
      </w:tblGrid>
      <w:tr>
        <w:trPr/>
        <w:tc>
          <w:tcPr>
            <w:tcW w:w="1741"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 2025</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color w:val="000000"/>
                <w:sz w:val="18"/>
              </w:rPr>
            </w:pPr>
            <w:r>
              <w:rPr>
                <w:rFonts w:ascii="Times New Roman;serif" w:hAnsi="Times New Roman;serif"/>
                <w:b/>
                <w:color w:val="000000"/>
                <w:sz w:val="18"/>
              </w:rPr>
              <w:t>Amount</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firstLine="360"/>
              <w:jc w:val="center"/>
              <w:rPr>
                <w:rFonts w:ascii="Times New Roman;serif" w:hAnsi="Times New Roman;serif"/>
                <w:b/>
                <w:color w:val="000000"/>
                <w:sz w:val="18"/>
              </w:rPr>
            </w:pPr>
            <w:r>
              <w:rPr>
                <w:rFonts w:ascii="Times New Roman;serif" w:hAnsi="Times New Roman;serif"/>
                <w:b/>
                <w:color w:val="000000"/>
                <w:sz w:val="18"/>
              </w:rPr>
              <w:t>Percentage</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tax at statutory rate</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income tax, net of federal effect </w:t>
            </w:r>
            <w:r>
              <w:rPr>
                <w:rFonts w:ascii="Times New Roman;serif" w:hAnsi="Times New Roman;serif"/>
                <w:b w:val="false"/>
                <w:color w:val="000000"/>
                <w:sz w:val="13"/>
              </w:rPr>
              <w:t>(1)</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 – Federal</w:t>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Switzerland and U.S.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 – Cantonal</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Cantonal tax</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not benefitted</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(1)State and local taxes in New York, Illinois, New Jersey, Minnesota, Texas, and Michigan made up greater than 50% of the tax effect in this category.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U.S. federal statutory rate of 21% to the Company’s effective rate for the years ended December 31, 2024 and 2023, prior to the adoption of ASU 2023-09, was as follows (dollars in millions):</w:t>
      </w:r>
    </w:p>
    <w:tbl>
      <w:tblPr>
        <w:tblW w:w="7697" w:type="dxa"/>
        <w:jc w:val="left"/>
        <w:tblInd w:w="0" w:type="dxa"/>
        <w:tblLayout w:type="fixed"/>
        <w:tblCellMar>
          <w:top w:w="28" w:type="dxa"/>
          <w:left w:w="28" w:type="dxa"/>
          <w:bottom w:w="28" w:type="dxa"/>
          <w:right w:w="28" w:type="dxa"/>
        </w:tblCellMar>
      </w:tblPr>
      <w:tblGrid>
        <w:gridCol w:w="1894"/>
        <w:gridCol w:w="1668"/>
        <w:gridCol w:w="1673"/>
        <w:gridCol w:w="109"/>
        <w:gridCol w:w="109"/>
        <w:gridCol w:w="211"/>
        <w:gridCol w:w="616"/>
        <w:gridCol w:w="109"/>
        <w:gridCol w:w="109"/>
        <w:gridCol w:w="109"/>
        <w:gridCol w:w="109"/>
        <w:gridCol w:w="211"/>
        <w:gridCol w:w="61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 at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(reduction) in tax resulting from: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taxes, net of federal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tax on foreign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Excess tax benefits related to share-based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not benefited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Unrecognized tax benefits related to 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unrecognized tax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Swiss tax benefits, net of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re-measurement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taxes reflect tax carryforwards and the net tax effects of temporary differences between the carrying amounts of assets and liabilities for financial reporting and the amounts used for income tax purposes. Significant components of the Company’s deferred tax assets and liabilities are as follows (in millions):</w:t>
      </w:r>
    </w:p>
    <w:tbl>
      <w:tblPr>
        <w:tblW w:w="6864" w:type="dxa"/>
        <w:jc w:val="left"/>
        <w:tblInd w:w="0" w:type="dxa"/>
        <w:tblLayout w:type="fixed"/>
        <w:tblCellMar>
          <w:top w:w="28" w:type="dxa"/>
          <w:left w:w="28" w:type="dxa"/>
          <w:bottom w:w="28" w:type="dxa"/>
          <w:right w:w="28" w:type="dxa"/>
        </w:tblCellMar>
      </w:tblPr>
      <w:tblGrid>
        <w:gridCol w:w="1567"/>
        <w:gridCol w:w="1374"/>
        <w:gridCol w:w="1379"/>
        <w:gridCol w:w="211"/>
        <w:gridCol w:w="766"/>
        <w:gridCol w:w="109"/>
        <w:gridCol w:w="109"/>
        <w:gridCol w:w="109"/>
        <w:gridCol w:w="109"/>
        <w:gridCol w:w="211"/>
        <w:gridCol w:w="766"/>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 expenditures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Swiss tax credits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deducted in later years for tax purposes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$85.4 million of federal and state net operating loss carryforwards, certain of which will expire starting in 2026 if not utilized. Utilization of these net operating loss carryforwards may be subject to certain limitations. The Company does not expect the limitations to result in any permanent loss of these tax benefits. As of December 31, 2025, the Company had $84.1 million of Swiss tax credit carryforwards, which will expire in 2028.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December 31, 2025, the Company had $395.0 million of California research and development credit carryforwards, which do not expire, and $4.4 million of other state research and development credit carryforwards, which begin to expire in 2030.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a valuation allowance of $361.5 million, primarily related to California deferred tax assets and certain Swiss deferred tax assets, for which the Company does not believe a tax benefit is more likely than not to be realized. As of December 31, 2024, the Company had a valuation allowance of $314.8 million, primarily related to California deferred tax assets and Swiss deferred tax assets, for which the Company does not believe a tax benefit is more likely than not to be realized. The increase in the valuation allowance during 2025 is primarily related to California research and development credits. These valuation allowances would result in a reduction to the income tax provision in the consolidated statements of income if they are ultimately not necessary.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repatriate earnings from its Swiss and Dutch subsidiaries and joint venture in Hong Kong, as needed, and the U.S. and foreign tax implications of such repatriations are not expected to be significant. The Company will continue to indefinitely reinvest earnings from the rest of its foreign subsidiaries and does not expect the tax implications of repatriating these earnings to be significant.</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during the periods presented were as follows (in millions):</w:t>
      </w:r>
    </w:p>
    <w:tbl>
      <w:tblPr>
        <w:tblW w:w="5428" w:type="dxa"/>
        <w:jc w:val="left"/>
        <w:tblInd w:w="0" w:type="dxa"/>
        <w:tblLayout w:type="fixed"/>
        <w:tblCellMar>
          <w:top w:w="28" w:type="dxa"/>
          <w:left w:w="28" w:type="dxa"/>
          <w:bottom w:w="28" w:type="dxa"/>
          <w:right w:w="28" w:type="dxa"/>
        </w:tblCellMar>
      </w:tblPr>
      <w:tblGrid>
        <w:gridCol w:w="602"/>
        <w:gridCol w:w="529"/>
        <w:gridCol w:w="529"/>
        <w:gridCol w:w="529"/>
        <w:gridCol w:w="529"/>
        <w:gridCol w:w="551"/>
        <w:gridCol w:w="464"/>
        <w:gridCol w:w="1356"/>
        <w:gridCol w:w="339"/>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69"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8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w:t>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w:t>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amounts of gross unrecognized income tax benefits for the years ended December 31, 2025, 2024, and 2023, are as follows (in millions):</w:t>
      </w:r>
    </w:p>
    <w:tbl>
      <w:tblPr>
        <w:tblW w:w="8651" w:type="dxa"/>
        <w:jc w:val="left"/>
        <w:tblInd w:w="0" w:type="dxa"/>
        <w:tblLayout w:type="fixed"/>
        <w:tblCellMar>
          <w:top w:w="28" w:type="dxa"/>
          <w:left w:w="28" w:type="dxa"/>
          <w:bottom w:w="28" w:type="dxa"/>
          <w:right w:w="28" w:type="dxa"/>
        </w:tblCellMar>
      </w:tblPr>
      <w:tblGrid>
        <w:gridCol w:w="1864"/>
        <w:gridCol w:w="1635"/>
        <w:gridCol w:w="1645"/>
        <w:gridCol w:w="211"/>
        <w:gridCol w:w="616"/>
        <w:gridCol w:w="109"/>
        <w:gridCol w:w="109"/>
        <w:gridCol w:w="109"/>
        <w:gridCol w:w="109"/>
        <w:gridCol w:w="211"/>
        <w:gridCol w:w="616"/>
        <w:gridCol w:w="109"/>
        <w:gridCol w:w="109"/>
        <w:gridCol w:w="109"/>
        <w:gridCol w:w="109"/>
        <w:gridCol w:w="211"/>
        <w:gridCol w:w="616"/>
        <w:gridCol w:w="154"/>
      </w:tblGrid>
      <w:tr>
        <w:trPr/>
        <w:tc>
          <w:tcPr>
            <w:tcW w:w="186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positions taken during the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positions taken during a prior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tax positions taken during a prior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settlements with tax authorities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expiration of statute of limitations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2024, and 2023, gross interest related to unrecognized tax benefits accrued was $21.8 million, $37.0 million, and $31.2 million, respectively. Total gross unrecognized tax benefits as of December 31, 2025, were $286.1 million, of which $175.3 million, if recognized, would have an impact on the Company’s effective tax rate.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files federal, state, and foreign income tax returns in many jurisdictions in the U.S. and OUS. Years before 2020 are considered closed for significant jurisdictions. Certain of the Company’s unrecognized tax benefits could change due to activities of various tax authorities, including evolving interpretations of existing tax laws in the jurisdictions in which the Company operates, potential assessment of additional tax, possible settlement of audits, or through normal expiration of various statutes of limitations, which could affect the Company’s effective tax rate in the period in which they change.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the examination of its income tax returns by the Internal Revenue Service and other tax authorities. The outcome of these audits cannot be predicted with certainty. The Company’s management regularly assesses the likelihood of adverse outcomes resulting from these examinations to determine the adequacy of the Company’s provision for income taxes. If any issues addressed in the Company’s tax audits are resolved in a manner not consistent with management’s expectations, the Company could be required to adjust its provision for income taxes in the period such resolution occurs.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12.    NET INCOME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income per share attributable to Intuitive Surgical, Inc. (in millions, except per share amounts):</w:t>
      </w:r>
    </w:p>
    <w:tbl>
      <w:tblPr>
        <w:tblW w:w="9342" w:type="dxa"/>
        <w:jc w:val="left"/>
        <w:tblInd w:w="0" w:type="dxa"/>
        <w:tblLayout w:type="fixed"/>
        <w:tblCellMar>
          <w:top w:w="28" w:type="dxa"/>
          <w:left w:w="28" w:type="dxa"/>
          <w:bottom w:w="28" w:type="dxa"/>
          <w:right w:w="28" w:type="dxa"/>
        </w:tblCellMar>
      </w:tblPr>
      <w:tblGrid>
        <w:gridCol w:w="1945"/>
        <w:gridCol w:w="1713"/>
        <w:gridCol w:w="1727"/>
        <w:gridCol w:w="211"/>
        <w:gridCol w:w="766"/>
        <w:gridCol w:w="109"/>
        <w:gridCol w:w="109"/>
        <w:gridCol w:w="109"/>
        <w:gridCol w:w="109"/>
        <w:gridCol w:w="211"/>
        <w:gridCol w:w="766"/>
        <w:gridCol w:w="109"/>
        <w:gridCol w:w="109"/>
        <w:gridCol w:w="109"/>
        <w:gridCol w:w="109"/>
        <w:gridCol w:w="211"/>
        <w:gridCol w:w="766"/>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Intuitive Surgical,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basic calculation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dilutive effect of potential common shares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used in diluted calculation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Intuitive Surgical, Inc.:</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Share-based compensation awards of approximately 1.0 million, 0.2 million, and </w:t>
      </w:r>
      <w:r>
        <w:rPr>
          <w:rFonts w:ascii="Times New Roman;serif" w:hAnsi="Times New Roman;serif"/>
          <w:b w:val="false"/>
          <w:color w:val="000000"/>
          <w:sz w:val="20"/>
          <w:shd w:fill="FFFFFF" w:val="clear"/>
        </w:rPr>
        <w:t xml:space="preserve">1.9 million </w:t>
      </w:r>
      <w:r>
        <w:rPr>
          <w:rFonts w:ascii="Times New Roman;serif" w:hAnsi="Times New Roman;serif"/>
          <w:b w:val="false"/>
          <w:color w:val="000000"/>
          <w:sz w:val="20"/>
        </w:rPr>
        <w:t>shares for the years ended December 31, 2025, 2024, and 2023, respectively, were outstanding but were not included in the computation of diluted net income per share attributable to Intuitive Surgical, Inc. common stockholders, because the effect of including such shares would have been anti-dilutive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13.     SEGMENT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Intuitive is committed to advancing minimally invasive care through a comprehensive ecosystem of products and services. This connected ecosystem includes systems, instruments and accessories, learning, and services connected by a digital portfolio that enables actionable digital insights across the care continuum. The systems, as well as the instruments and accessories, are primarily developed and manufactured by the Company. During the years ended December 31, 2025, 2024, and 2023, domestic revenue accounted for 68%, 67% and 66%, respectively, of total revenue, while revenue from the Company’s OUS markets accounted for 32%, 33% and 34%, respectively, of total revenue. The Company manages the business activities on a consolidated basis and operates in one reportable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income from operations. Net income is also a measure that is considered in monitoring budget versus actual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expenses within income from operations, as well as within net income, include cost of revenue, research and development, and selling, general and administrative expenses, which are each separately presented on the Company’s Consolidated Statements of Income. Other segment items within net income include interest and other income, net, and income tax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long-lived assets consist primarily of property, plant, and equipment, net. As of December 31, 2025 and 2024, 80% and 83%, respectively, of long-lived assets were in the U.S. As of December 31, 2025 and 2024, no individual country other than the U.S. accounted for 10% or more of these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NOTE 14.     EMPLOYEE BENEFIT PLANS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sponsors various retirement plans for its eligible U.S. and non-U.S. employees. For employees in the U.S., the Company maintains the Intuitive Surgical, Inc. 401(k) Plan (the “Plan”). As allowed under Section 401(k) of the Internal Revenue Code, the Plan provides tax-deferred salary contributions for eligible U.S. employees. The Plan allows employees to contribute up to 100% of their annual compensation to the Plan on a pre-tax and/or after-tax basis. Employee contributions are limited to a maximum annual amount as set periodically by the Internal Revenue Code. The Company matches 200% of employee contributions up to $2,000 per calendar year per person. All matching employer contributions vest immediately.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Conclusion Regarding the Effectiveness of Disclosure Controls and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Annual Report on Form 10-K. Based on the foregoing, our principal executive officer and principal financial officer concluded that our disclosure controls and procedures were effective at the reasonable assurance level.</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Inherent Limitations Over Internal Controls</w:t>
      </w:r>
    </w:p>
    <w:p>
      <w:pPr>
        <w:pStyle w:val="TextBody"/>
        <w:bidi w:val="0"/>
        <w:spacing w:lineRule="auto" w:line="288" w:before="0" w:after="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internal control over financial reporting is designed to provide reasonable assurance regarding the reliability of financial reporting and the preparation of the Consolidated Financial Statements for external purposes in accordance with GAAP. Our internal control over financial reporting includes those policies and procedures that:</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(i)pertain to the maintenance of records that, in reasonable detail, accurately and fairly reflect the transactions and dispositions of our assets;</w:t>
      </w:r>
    </w:p>
    <w:p>
      <w:pPr>
        <w:pStyle w:val="TextBody"/>
        <w:bidi w:val="0"/>
        <w:spacing w:lineRule="auto" w:line="288" w:before="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(ii)provide reasonable assurance that transactions are recorded as necessary to permit preparation of the Consolidated Financial Statements in accordance with GAAP and that our receipts and expenditures are being made only in accordance with authorizations of our management and directors; and</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(iii)provide reasonable assurance regarding prevention or timely detection of unauthorized acquisition, use, or disposition of our assets that could have a material effect on the Consolidated Financial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including our principal executive officer and principal financial officer, does not expect that our internal controls will prevent or detect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such term is defined in the Exchange Act Rules 13a-15(f). 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Control—Integrated Framework (2013), our management concluded that our internal control over financial reporting was effective as of December 31,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PricewaterhouseCoopers LLP, an independent registered public accounting firm, as stated in their report, which is included under “Item 8. Financial Statements and Supplementary Data” of this Annual Report.</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Rule 10b5-1 Plans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17, 2025, Brian E. Miller, Ph.D., the Company’s Head of Digital and AI Strategy, adopted a Rule 10b5-1 trading plan. Dr. Miller’s trading plan provides for the potential sale of up to 35,344 shares of the Company’s common stock, including the potential exercise and sale of up to 11,722 shares of the Company’s common stock subject to stock options, until December 15, 2026. This trading plan was entered into during an open insider trading window and is intended to satisfy the affirmative defense of Rule 10b5-1(c) under the Securities Exchange Act of 1934, as amended, and the Company’s policies regarding transactions in the Company’s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information required by Part III is omitted from this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concerning our directors and corporate governance is incorporated by reference to the information set forth in the section titled “Directors and Corporate Governance” in our Proxy Statement. Information required by this item concerning our executive officers is incorporated by reference to the information set forth in the section entitled “Executive Officers of the Company” in our Proxy Statement. Information regarding our Section 16 reporting compliance and code of business conduct and ethics is incorporated by reference to the information set forth in the section entitled “Security Ownership of Certain Beneficial Owners and Management and Related Stockholder Matters” in our Proxy Statement.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 other dispositions of our securities by our directors, officers, and employees that we believe is reasonably designed to promote compliance with insider trading laws, rules and regulations, and any applicable listing standards. A copy of our insider trading policy is filed as Exhibit 19 to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regarding executive compensation is incorporated by reference to the information set forth in the sections titled “Executive Compensation” and “Compensation for Directors” in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regarding security ownership of certain beneficial owners and management is incorporated by reference to the information set forth in the section titled “Security Ownership of Certain Beneficial Owners and Management and Related Stockholder Matters” in our Proxy Statement for the 2026 Annual Meeting of Stockholders to be filed with the SEC within 120 days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regarding certain relationships and related transactions and director independence is incorporated by reference to the information set forth in the sections titled “Certain Relationships and Related Transactions” and “Directors and Corporate Governance” in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regarding principal accountant fees and services is incorporated by reference to the information set forth in the section titled “Principal Accountant Fees and Services” in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15.    EXHIBITS AND FINANCIAL STATEMENT SCHEDULE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filed as part of this Annual Report on Form 10-K.</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1)Financial Statements—See Index to Consolidated Financial Statements at Item 8 of this report on Form 10-K.</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2)All schedules have been omitted, because they are not applicable, not required under the instructions, or the information requested is set forth in the Consolidated Financial Statements or related notes thereto.</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3)Exhibits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exhibits filed as part of this report are listed under “Exhibits” at subsection (b) of this Item 15.</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14"/>
        <w:gridCol w:w="276"/>
        <w:gridCol w:w="277"/>
        <w:gridCol w:w="109"/>
        <w:gridCol w:w="109"/>
        <w:gridCol w:w="109"/>
        <w:gridCol w:w="1910"/>
        <w:gridCol w:w="1498"/>
        <w:gridCol w:w="1502"/>
        <w:gridCol w:w="109"/>
        <w:gridCol w:w="109"/>
        <w:gridCol w:w="109"/>
        <w:gridCol w:w="195"/>
        <w:gridCol w:w="195"/>
        <w:gridCol w:w="196"/>
        <w:gridCol w:w="109"/>
        <w:gridCol w:w="109"/>
        <w:gridCol w:w="109"/>
        <w:gridCol w:w="336"/>
        <w:gridCol w:w="265"/>
        <w:gridCol w:w="165"/>
        <w:gridCol w:w="109"/>
        <w:gridCol w:w="109"/>
        <w:gridCol w:w="109"/>
        <w:gridCol w:w="245"/>
        <w:gridCol w:w="245"/>
        <w:gridCol w:w="246"/>
        <w:gridCol w:w="109"/>
        <w:gridCol w:w="109"/>
        <w:gridCol w:w="109"/>
        <w:gridCol w:w="204"/>
        <w:gridCol w:w="204"/>
        <w:gridCol w:w="297"/>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Certificate of Incorporation of the Company,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7/23/2020</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Amendment to Amended and Restated Certificate of Incorporation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10/20/2021</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2/1/2021</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Specimen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333-33016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5/2/2000</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Description of the Registrant</w:t>
              </w:r>
            </w:hyperlink>
            <w:r>
              <w:rPr>
                <w:color w:val="000000"/>
              </w:rPr>
              <w:t>’</w:t>
            </w:r>
            <w:hyperlink r:id="rId9">
              <w:r>
                <w:rPr>
                  <w:rStyle w:val="InternetLink"/>
                  <w:rFonts w:ascii="Times New Roman;serif" w:hAnsi="Times New Roman;serif"/>
                  <w:b w:val="false"/>
                  <w:color w:val="0000FF"/>
                  <w:sz w:val="20"/>
                  <w:u w:val="single"/>
                </w:rPr>
                <w:t>s Securities Registered Pursuant to Section 12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333-33016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2/3/2022</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2000 Non-Employee Directors’ Stock Option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333-33016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3/22/2000</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Indemnity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8/3/2015</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2009 Employment Commencement Incentive Plan, as amended and restated.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333-203793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5/1/2015</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2000 Employee Stock Purchase Plan, as amended and restated.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4/30/2024</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2010 Incentive Award Plan, as amended and restated.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5/5/2025</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12/2/2008</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Amended and Restated Intuitive Surgical, Inc. 2009 Employment Commencement Incentive Plan Stock Option Grant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2/2/2016</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Amended and Restated Intuitive Surgical, Inc. 2010 Incentive Award Plan Global Stock Option Grant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000-30713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2/10/2023</w:t>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1010xformofamendeda.htm">
              <w:r>
                <w:rPr>
                  <w:rStyle w:val="InternetLink"/>
                  <w:rFonts w:ascii="Times New Roman;serif" w:hAnsi="Times New Roman;serif"/>
                  <w:b w:val="false"/>
                  <w:color w:val="0000FF"/>
                  <w:sz w:val="20"/>
                  <w:u w:val="single"/>
                </w:rPr>
                <w:t>Form of Amended and Restated Intuitive Surgical, Inc. 2010 Incentive Award Plan Global Restricted Stock Unit Grant Notice.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1011formofamendedan.htm">
              <w:r>
                <w:rPr>
                  <w:rStyle w:val="InternetLink"/>
                  <w:rFonts w:ascii="Times New Roman;serif" w:hAnsi="Times New Roman;serif"/>
                  <w:b w:val="false"/>
                  <w:color w:val="000080"/>
                  <w:sz w:val="20"/>
                  <w:u w:val="single"/>
                </w:rPr>
                <w:t>Form of Amended and Restated Intuitive Surgical, Inc. 2010 Incentive Award Plan Global Performance Stock Unit Grant Notice</w:t>
              </w:r>
            </w:hyperlink>
            <w:r>
              <w:rPr>
                <w:rFonts w:ascii="Times New Roman;serif" w:hAnsi="Times New Roman;serif"/>
                <w:b w:val="false"/>
                <w:color w:val="0000FF"/>
                <w:sz w:val="20"/>
                <w:u w:val="single"/>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19xinsidertradingpo.htm">
              <w:r>
                <w:rPr>
                  <w:rStyle w:val="InternetLink"/>
                  <w:rFonts w:ascii="Times New Roman;serif" w:hAnsi="Times New Roman;serif"/>
                  <w:b w:val="false"/>
                  <w:color w:val="0000FF"/>
                  <w:sz w:val="20"/>
                  <w:u w:val="single"/>
                </w:rPr>
                <w:t>Intuitive Surgical, Inc. Insider Trading Policy and Guidelines.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211xsubsidiaries.htm">
              <w:r>
                <w:rPr>
                  <w:rStyle w:val="InternetLink"/>
                  <w:rFonts w:ascii="Times New Roman;serif" w:hAnsi="Times New Roman;serif"/>
                  <w:b w:val="false"/>
                  <w:color w:val="0000FF"/>
                  <w:sz w:val="20"/>
                  <w:u w:val="single"/>
                </w:rPr>
                <w:t>Intuitive Surgical, Inc.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231xauditorconsent.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311xceocertofsoxsec.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312xcfocertofsoxsec.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321xceocertofsoxsec.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322xcfocertofsoxsec.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425ex-971xclawbackpolicy.htm">
              <w:r>
                <w:rPr>
                  <w:rStyle w:val="InternetLink"/>
                  <w:rFonts w:ascii="Times New Roman;serif" w:hAnsi="Times New Roman;serif"/>
                  <w:b w:val="false"/>
                  <w:color w:val="0000FF"/>
                  <w:sz w:val="20"/>
                  <w:u w:val="single"/>
                </w:rPr>
                <w:t>Clawback Policy (formerly Policy for Recovery of Erroneously Awarded Compensation, as amended and restated on January 29,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Intuitive Surgical, Inc.’s Annual Report on Form 10-K for the year ended December 31, 2025, formatted in Inline XBRL (Inline Extensible Business Reporting Language): (i) Consolidated Balance Sheets, (ii) Consolidated Statements of Income, (iii) Consolidated Statements of Comprehensive Income, (iv) Consolidated Statements of Stockholders’ Equity, (v) Consolidated Statements of Cash Flows, and (vi) Notes to Consolidated Financial Statements, tagged at Level I through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Intuitive Surgical, Inc.’s Annual Report on Form 10-K for the year ended December 31, 2025,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 Management contract or compensatory plan or arrangement.</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ind w:left="0" w:right="0" w:hanging="1260"/>
        <w:jc w:val="both"/>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a1fb1a5252904fe68dcec7c16634164c_7">
        <w:r>
          <w:rPr>
            <w:rStyle w:val="InternetLink"/>
            <w:rFonts w:ascii="Times New Roman;serif" w:hAnsi="Times New Roman;serif"/>
            <w:b w:val="false"/>
            <w:color w:val="0000FF"/>
            <w:sz w:val="16"/>
            <w:u w:val="single"/>
          </w:rPr>
          <w:t>Table of Contents</w:t>
        </w:r>
      </w:hyperlink>
    </w:p>
    <w:p>
      <w:pPr>
        <w:pStyle w:val="TextBody"/>
        <w:bidi w:val="0"/>
        <w:spacing w:lineRule="auto" w:line="288" w:before="24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Pursuant to the requirements of Section 13 or 15(d) of the Securities Exchange Act of 1934, the registrant has duly caused this report to be signed on its behalf by the undersigned thereunto duly authorized.</w:t>
      </w:r>
    </w:p>
    <w:tbl>
      <w:tblPr>
        <w:tblW w:w="5846"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270"/>
        <w:gridCol w:w="270"/>
        <w:gridCol w:w="270"/>
        <w:gridCol w:w="270"/>
        <w:gridCol w:w="270"/>
        <w:gridCol w:w="270"/>
        <w:gridCol w:w="535"/>
        <w:gridCol w:w="535"/>
        <w:gridCol w:w="7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DAVID J. ROSA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David J. Rosa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Chief Executive Officer</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person whose individual signature appears below hereby authorizes and appoints David Rosa and Jamie Samath,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w:t>
        <w:noBreakHyphen/>
        <w:t>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pStyle w:val="TextBody"/>
        <w:bidi w:val="0"/>
        <w:spacing w:lineRule="auto" w:line="288" w:before="0" w:after="0"/>
        <w:ind w:left="0" w:right="0" w:firstLine="360"/>
        <w:jc w:val="both"/>
        <w:rPr>
          <w:rFonts w:ascii="Times New Roman;serif" w:hAnsi="Times New Roman;serif"/>
          <w:b/>
          <w:color w:val="000000"/>
          <w:sz w:val="20"/>
        </w:rPr>
      </w:pPr>
      <w:r>
        <w:rPr>
          <w:rFonts w:ascii="Times New Roman;serif" w:hAnsi="Times New Roman;serif"/>
          <w:b/>
          <w:color w:val="000000"/>
          <w:sz w:val="20"/>
        </w:rPr>
        <w:t>Pursuant to the requirements of the Securities Exchange Act of 1934, this report has been signed below by the following persons on behalf of the Registrant and in the capacities and on the dates indicated.</w:t>
      </w:r>
    </w:p>
    <w:tbl>
      <w:tblPr>
        <w:tblW w:w="8527" w:type="dxa"/>
        <w:jc w:val="left"/>
        <w:tblInd w:w="0" w:type="dxa"/>
        <w:tblLayout w:type="fixed"/>
        <w:tblCellMar>
          <w:top w:w="28" w:type="dxa"/>
          <w:left w:w="28" w:type="dxa"/>
          <w:bottom w:w="28" w:type="dxa"/>
          <w:right w:w="28" w:type="dxa"/>
        </w:tblCellMar>
      </w:tblPr>
      <w:tblGrid>
        <w:gridCol w:w="1029"/>
        <w:gridCol w:w="904"/>
        <w:gridCol w:w="916"/>
        <w:gridCol w:w="109"/>
        <w:gridCol w:w="109"/>
        <w:gridCol w:w="109"/>
        <w:gridCol w:w="1209"/>
        <w:gridCol w:w="1209"/>
        <w:gridCol w:w="1227"/>
        <w:gridCol w:w="109"/>
        <w:gridCol w:w="109"/>
        <w:gridCol w:w="109"/>
        <w:gridCol w:w="402"/>
        <w:gridCol w:w="402"/>
        <w:gridCol w:w="575"/>
      </w:tblGrid>
      <w:tr>
        <w:trPr/>
        <w:tc>
          <w:tcPr>
            <w:tcW w:w="102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DAVID J. ROSA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Director</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David J. Rosa</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JAMIE E. SAMATH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Executive Vice President, Chief Financial Officer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Jamie E. Samath</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FREDRIK C. WIDMAN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Vice President, Corporate Controller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Fredrik C. Widman</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GARY S. GUTHART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Executive 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Gary S. Guthart, Ph.D.</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CRAIG H. BARRATT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Craig H. Barratt, Ph.D.</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JOSEPH C. BEERY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Joseph C. Beery</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LEWIS CHEW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Lewis Chew</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AMAL M. JOHNSON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Amal M. Johnson</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w:t>
            </w:r>
            <w:r>
              <w:rPr>
                <w:rFonts w:ascii="Times New Roman;serif" w:hAnsi="Times New Roman;serif"/>
                <w:b w:val="false"/>
                <w:color w:val="000000"/>
                <w:sz w:val="16"/>
              </w:rPr>
              <w:t>S</w:t>
            </w:r>
            <w:r>
              <w:rPr>
                <w:rFonts w:ascii="Times New Roman;serif" w:hAnsi="Times New Roman;serif"/>
                <w:b w:val="false"/>
                <w:color w:val="000000"/>
                <w:sz w:val="18"/>
              </w:rPr>
              <w:t>/    SREELAKSHMI KOLLI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Sreelakshmi Kolli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AMY L. LADD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Amy L. Ladd, M.D.</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KEITH R. LEONARD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Keith R. Leonard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JAMI DOVER NACHTSHEIM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Jami Dover Nachtsheim</w:t>
            </w:r>
          </w:p>
        </w:tc>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    MONICA P. REED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3, 2026</w:t>
            </w:r>
          </w:p>
        </w:tc>
      </w:tr>
      <w:tr>
        <w:trPr/>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Monica P. Reed,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AMENDED AND RESTATED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INTUITIVE SURGICAL, INC. 2010 INCENTIVE AWARD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GLOBAL RESTRICTED STOCK UNIT GRANT NOTICE</w:t>
      </w:r>
    </w:p>
    <w:p>
      <w:pPr>
        <w:pStyle w:val="TextBody"/>
        <w:bidi w:val="0"/>
        <w:spacing w:before="0" w:after="0"/>
        <w:ind w:left="0" w:right="0" w:firstLine="720"/>
        <w:jc w:val="center"/>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Intuitive Surgical, Inc.,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pursuant to its Amended and Restated 2010 Incentive Award Plan, as amended from time to time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hereby grants to the holder listed below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the number of Restricted Stock Units (the “</w:t>
      </w:r>
      <w:r>
        <w:rPr>
          <w:rFonts w:ascii="Times New Roman;serif" w:hAnsi="Times New Roman;serif"/>
          <w:b w:val="false"/>
          <w:color w:val="000000"/>
          <w:sz w:val="22"/>
          <w:u w:val="single"/>
        </w:rPr>
        <w:t>RSUs</w:t>
      </w:r>
      <w:r>
        <w:rPr>
          <w:color w:val="000000"/>
        </w:rPr>
        <w:t>”</w:t>
      </w:r>
      <w:r>
        <w:rPr>
          <w:rFonts w:ascii="Times New Roman;serif" w:hAnsi="Times New Roman;serif"/>
          <w:b w:val="false"/>
          <w:color w:val="000000"/>
          <w:sz w:val="22"/>
        </w:rPr>
        <w:t>) set forth below. The RSUs are subject to the terms and conditions set forth in this Global Restricted Stock Unit Grant Notice (the “</w:t>
      </w:r>
      <w:r>
        <w:rPr>
          <w:rFonts w:ascii="Times New Roman;serif" w:hAnsi="Times New Roman;serif"/>
          <w:b w:val="false"/>
          <w:color w:val="000000"/>
          <w:sz w:val="22"/>
          <w:u w:val="single"/>
        </w:rPr>
        <w:t>Grant Notice</w:t>
      </w:r>
      <w:r>
        <w:rPr>
          <w:color w:val="000000"/>
        </w:rPr>
        <w:t>”</w:t>
      </w:r>
      <w:r>
        <w:rPr>
          <w:rFonts w:ascii="Times New Roman;serif" w:hAnsi="Times New Roman;serif"/>
          <w:b w:val="false"/>
          <w:color w:val="000000"/>
          <w:sz w:val="22"/>
        </w:rPr>
        <w:t xml:space="preserve">) and the Global Restricted Stock Unit Agreement (including any additional terms and conditions for Participant’s country included in the appendix attached thereto) attached hereto as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(the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and the Plan, which are incorporated herein by reference. Unless otherwise defined herein, the terms defined in the Plan shall have the same defined meanings in the Grant Notice and the Agreement.</w:t>
      </w:r>
    </w:p>
    <w:p>
      <w:pPr>
        <w:pStyle w:val="TextBody"/>
        <w:bidi w:val="0"/>
        <w:spacing w:before="0" w:after="24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8"/>
        <w:gridCol w:w="631"/>
        <w:gridCol w:w="637"/>
        <w:gridCol w:w="109"/>
        <w:gridCol w:w="109"/>
        <w:gridCol w:w="109"/>
        <w:gridCol w:w="2609"/>
        <w:gridCol w:w="2188"/>
        <w:gridCol w:w="3095"/>
      </w:tblGrid>
      <w:tr>
        <w:trPr/>
        <w:tc>
          <w:tcPr>
            <w:tcW w:w="71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19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Participant: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tc>
      </w:tr>
      <w:tr>
        <w:trPr/>
        <w:tc>
          <w:tcPr>
            <w:tcW w:w="198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Grant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[_____________]</w:t>
            </w:r>
            <w:r>
              <w:rPr>
                <w:color w:val="000000"/>
                <w:u w:val="single"/>
              </w:rPr>
              <w:t xml:space="preserve"> </w:t>
            </w:r>
          </w:p>
        </w:tc>
      </w:tr>
      <w:tr>
        <w:trPr/>
        <w:tc>
          <w:tcPr>
            <w:tcW w:w="19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tc>
      </w:tr>
      <w:tr>
        <w:trPr/>
        <w:tc>
          <w:tcPr>
            <w:tcW w:w="19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Vesting Commencement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tc>
      </w:tr>
      <w:tr>
        <w:trPr/>
        <w:tc>
          <w:tcPr>
            <w:tcW w:w="19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[_____________]</w:t>
            </w:r>
            <w:r>
              <w:rPr>
                <w:color w:val="000000"/>
                <w:u w:val="single"/>
              </w:rPr>
              <w:t xml:space="preserve"> </w:t>
            </w:r>
          </w:p>
        </w:tc>
      </w:tr>
      <w:tr>
        <w:trPr/>
        <w:tc>
          <w:tcPr>
            <w:tcW w:w="19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Type of Shares Issuable: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r>
      <w:tr>
        <w:trPr/>
        <w:tc>
          <w:tcPr>
            <w:tcW w:w="198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2"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RSUs shall vest as shown in the Vest Schedule on the corporate broker’s website, subject to the Participant’s continued service with the Company through each applicable vesting date.</w:t>
            </w:r>
          </w:p>
        </w:tc>
      </w:tr>
    </w:tbl>
    <w:p>
      <w:pPr>
        <w:pStyle w:val="TextBody"/>
        <w:bidi w:val="0"/>
        <w:spacing w:before="0" w:after="240"/>
        <w:ind w:left="0" w:right="0" w:firstLine="720"/>
        <w:jc w:val="both"/>
        <w:rPr/>
      </w:pPr>
      <w:r>
        <w:rPr/>
      </w:r>
    </w:p>
    <w:p>
      <w:pPr>
        <w:pStyle w:val="TextBody"/>
        <w:bidi w:val="0"/>
        <w:spacing w:lineRule="auto" w:line="288" w:before="24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By Participant’s signature below, or by indicating acceptance of this award through the Company’s online acceptance procedure (including online acceptance through a third-party website authorized by the Company), Participant agrees to be bound by the terms and conditions of the Plan, the Agreement and the Grant Notice. Participant has reviewed the Agreement, the Plan and the Grant Notice in their entirety, has had an opportunity to obtain the advice of counsel prior to executing or accepting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 </w:t>
      </w:r>
    </w:p>
    <w:tbl>
      <w:tblPr>
        <w:tblW w:w="7843" w:type="dxa"/>
        <w:jc w:val="left"/>
        <w:tblInd w:w="0" w:type="dxa"/>
        <w:tblLayout w:type="fixed"/>
        <w:tblCellMar>
          <w:top w:w="28" w:type="dxa"/>
          <w:left w:w="28" w:type="dxa"/>
          <w:bottom w:w="28" w:type="dxa"/>
          <w:right w:w="28" w:type="dxa"/>
        </w:tblCellMar>
      </w:tblPr>
      <w:tblGrid>
        <w:gridCol w:w="688"/>
        <w:gridCol w:w="604"/>
        <w:gridCol w:w="604"/>
        <w:gridCol w:w="604"/>
        <w:gridCol w:w="604"/>
        <w:gridCol w:w="614"/>
        <w:gridCol w:w="1207"/>
        <w:gridCol w:w="1207"/>
        <w:gridCol w:w="1711"/>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718"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INTUITIVE SURGICAL, INC.:    </w:t>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PARTICIPANT</w:t>
            </w:r>
          </w:p>
          <w:p>
            <w:pPr>
              <w:pStyle w:val="TableContents"/>
              <w:bidi w:val="0"/>
              <w:spacing w:before="0" w:after="0"/>
              <w:jc w:val="left"/>
              <w:rPr/>
            </w:pPr>
            <w:r>
              <w:rPr/>
            </w:r>
          </w:p>
          <w:p>
            <w:pPr>
              <w:pStyle w:val="TableContents"/>
              <w:bidi w:val="0"/>
              <w:spacing w:lineRule="auto" w:line="288"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via Online Electronic Acceptance</w:t>
            </w:r>
          </w:p>
        </w:tc>
      </w:tr>
      <w:tr>
        <w:trPr/>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1822"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200"/>
        <w:jc w:val="left"/>
        <w:rPr>
          <w:color w:val="000000"/>
        </w:rPr>
      </w:pPr>
      <w:r>
        <w:rPr>
          <w:color w:val="000000"/>
        </w:rPr>
        <w:t>                    </w:t>
      </w:r>
    </w:p>
    <w:p>
      <w:pPr>
        <w:pStyle w:val="TextBody"/>
        <w:bidi w:val="0"/>
        <w:jc w:val="center"/>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TO THE GLOBAL RESTRICTED STOCK UNIT GRANT NOTICE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GLOBAL RESTRICTED STOCK UNIT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Pursuant to the Grant Notice to which this Agreement is attached, the Company has granted to Participant the number of RSUs set forth in the Grant Notice (this “</w:t>
      </w:r>
      <w:r>
        <w:rPr>
          <w:rFonts w:ascii="Times New Roman;serif" w:hAnsi="Times New Roman;serif"/>
          <w:b w:val="false"/>
          <w:color w:val="000000"/>
          <w:sz w:val="22"/>
          <w:u w:val="single"/>
        </w:rPr>
        <w:t>Award</w:t>
      </w:r>
      <w:r>
        <w:rPr>
          <w:color w:val="000000"/>
        </w:rPr>
        <w:t>”</w:t>
      </w:r>
      <w:r>
        <w:rPr>
          <w:rFonts w:ascii="Times New Roman;serif" w:hAnsi="Times New Roman;serif"/>
          <w:b w:val="false"/>
          <w:color w:val="000000"/>
          <w:sz w:val="22"/>
        </w:rPr>
        <w:t xml:space="preserve">). </w:t>
      </w:r>
    </w:p>
    <w:p>
      <w:pPr>
        <w:pStyle w:val="TextBody"/>
        <w:bidi w:val="0"/>
        <w:spacing w:lineRule="auto" w:line="288" w:before="0" w:after="0"/>
        <w:jc w:val="center"/>
        <w:rPr/>
      </w:pPr>
      <w:r>
        <w:rPr>
          <w:rFonts w:ascii="Times New Roman;serif" w:hAnsi="Times New Roman;serif"/>
          <w:b/>
          <w:color w:val="000000"/>
          <w:sz w:val="22"/>
        </w:rPr>
        <w:t>ARTICLE I.</w:t>
      </w:r>
      <w:r>
        <w:rPr>
          <w:rFonts w:ascii="Times New Roman;serif" w:hAnsi="Times New Roman;serif"/>
          <w:b/>
          <w:color w:val="000000"/>
          <w:sz w:val="22"/>
        </w:rPr>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Defined Terms</w:t>
      </w:r>
      <w:r>
        <w:rPr>
          <w:rFonts w:ascii="Times New Roman;serif" w:hAnsi="Times New Roman;serif"/>
          <w:b w:val="false"/>
          <w:color w:val="000000"/>
          <w:sz w:val="22"/>
        </w:rPr>
        <w:t>. Capitalized terms not specifically defined herein shall have the meanings specified in the Plan or the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Incorporation of Terms of Plan</w:t>
      </w:r>
      <w:r>
        <w:rPr>
          <w:rFonts w:ascii="Times New Roman;serif" w:hAnsi="Times New Roman;serif"/>
          <w:b w:val="false"/>
          <w:color w:val="000000"/>
          <w:sz w:val="22"/>
        </w:rPr>
        <w:t>. The RSUs and the shares of Common Stock (“</w:t>
      </w:r>
      <w:r>
        <w:rPr>
          <w:rFonts w:ascii="Times New Roman;serif" w:hAnsi="Times New Roman;serif"/>
          <w:b w:val="false"/>
          <w:color w:val="000000"/>
          <w:sz w:val="22"/>
          <w:u w:val="single"/>
        </w:rPr>
        <w:t>Stock</w:t>
      </w:r>
      <w:r>
        <w:rPr>
          <w:color w:val="000000"/>
        </w:rPr>
        <w:t>”</w:t>
      </w:r>
      <w:r>
        <w:rPr>
          <w:rFonts w:ascii="Times New Roman;serif" w:hAnsi="Times New Roman;serif"/>
          <w:b w:val="false"/>
          <w:color w:val="000000"/>
          <w:sz w:val="22"/>
        </w:rPr>
        <w:t>) issued to Participant hereunder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are subject to the terms and conditions set forth in this Agreement (including any additional terms and conditions for Participant’s country set forth in the appendix attached hereto (the “</w:t>
      </w:r>
      <w:r>
        <w:rPr>
          <w:rFonts w:ascii="Times New Roman;serif" w:hAnsi="Times New Roman;serif"/>
          <w:b w:val="false"/>
          <w:color w:val="000000"/>
          <w:sz w:val="22"/>
          <w:u w:val="single"/>
        </w:rPr>
        <w:t>Appendix</w:t>
      </w:r>
      <w:r>
        <w:rPr>
          <w:color w:val="000000"/>
        </w:rPr>
        <w:t>”</w:t>
      </w:r>
      <w:r>
        <w:rPr>
          <w:rFonts w:ascii="Times New Roman;serif" w:hAnsi="Times New Roman;serif"/>
          <w:b w:val="false"/>
          <w:color w:val="000000"/>
          <w:sz w:val="22"/>
        </w:rPr>
        <w:t>)) and the Plan, which is incorporated herein by reference. In the event of any inconsistency between the Plan and this Agreement, the terms of the Plan shall control.</w:t>
      </w:r>
    </w:p>
    <w:p>
      <w:pPr>
        <w:pStyle w:val="TextBody"/>
        <w:bidi w:val="0"/>
        <w:spacing w:lineRule="auto" w:line="288" w:before="0" w:after="0"/>
        <w:jc w:val="center"/>
        <w:rPr/>
      </w:pPr>
      <w:r>
        <w:rPr>
          <w:rFonts w:ascii="Times New Roman;serif" w:hAnsi="Times New Roman;serif"/>
          <w:b/>
          <w:color w:val="000000"/>
          <w:sz w:val="22"/>
        </w:rPr>
        <w:t>ARTICLE II.</w:t>
      </w:r>
      <w:r>
        <w:rPr>
          <w:rFonts w:ascii="Times New Roman;serif" w:hAnsi="Times New Roman;serif"/>
          <w:b/>
          <w:color w:val="000000"/>
          <w:sz w:val="22"/>
        </w:rPr>
        <w:br/>
        <w:t>AWARD OF RESTRICTED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Award of RSUs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Effective as of the grant date set forth in the Grant Notice (the “</w:t>
      </w:r>
      <w:r>
        <w:rPr>
          <w:rFonts w:ascii="Times New Roman;serif" w:hAnsi="Times New Roman;serif"/>
          <w:b w:val="false"/>
          <w:color w:val="000000"/>
          <w:sz w:val="22"/>
          <w:u w:val="single"/>
        </w:rPr>
        <w:t>Grant Date</w:t>
      </w:r>
      <w:r>
        <w:rPr>
          <w:color w:val="000000"/>
        </w:rPr>
        <w:t>”</w:t>
      </w:r>
      <w:r>
        <w:rPr>
          <w:rFonts w:ascii="Times New Roman;serif" w:hAnsi="Times New Roman;serif"/>
          <w:b w:val="false"/>
          <w:color w:val="000000"/>
          <w:sz w:val="22"/>
        </w:rPr>
        <w:t xml:space="preserve">), the Company has granted to Participant the number of RSUs set forth in the Grant Notice, upon the terms and conditions set forth in the Grant Notice, the Plan and this Agreement, subject to adjustment as provided in Section 13.2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Vesting of RSUs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Subject to Participant’s continued employment with or service to the Company or an Affiliate on each applicable vesting date and subject to the terms of this Agreement, the RSUs shall vest in such amounts and at such times as are set forth in the Grant Notice.</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In the event Participant incurs a Termination of Service, except as may be otherwise provided by the Administrator or as set forth in the Plan or a written agreement between Participant and the Company, Participant shall immediately forfeit any and all RSUs granted under this Agreement which have not vested or do not vest on or prior to the date on which such Termination of Service occurs, and Participant’s rights in any such RSUs which are not so vested shall lapse and expire. For purposes of the RSUs, a Termination of Service will be deemed to have occurred as of the date Participant is no longer actively providing services to the Company or any Affiliate (regardless of the reason for such Termination of Service and whether or not later found to be invalid or in breach of applicable laws in the jurisdiction where Participant is employed or otherwise rendering services, or the terms of Participant’s employment or other service agreement, if any). Participant’s employment or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service relationship will not be extended by any notice period (</w:t>
      </w:r>
      <w:r>
        <w:rPr>
          <w:rFonts w:ascii="Times New Roman;serif" w:hAnsi="Times New Roman;serif"/>
          <w:b w:val="false"/>
          <w:i/>
          <w:color w:val="000000"/>
          <w:sz w:val="22"/>
        </w:rPr>
        <w:t>e.g.</w:t>
      </w:r>
      <w:r>
        <w:rPr>
          <w:rFonts w:ascii="Times New Roman;serif" w:hAnsi="Times New Roman;serif"/>
          <w:b w:val="false"/>
          <w:color w:val="000000"/>
          <w:sz w:val="22"/>
        </w:rPr>
        <w:t>, Participant’s period of service will not be extended by any contractual notice period or period of “garden leave” or similar period mandated under applicable laws in the jurisdiction where Participant is employed or otherwise rendering services, or the terms of Participant’s employment or other service agreement, if any). Notwithstanding the forgoing, the Administrator shall have exclusive discretion to determine when a Termination of Service has occurred for purposes of the RSUs (including when Participant is no longer considered to be providing services while on a leave of absence). In the event of Participant’s leave of absence, vesting of the RSUs shall be governed by the Company’s leave of absence policies, as may be amended from time to time, and in accordance with applicable laws.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Notwithstanding 2.2(a) hereof and the Grant Notice, but subject to 2.2(b) hereof, vesting of the RSUs is also subject to acceleration under certain circumstances following a Change of Control (as defined in the Intuitive Surgical, Inc. Severance Plan (the “</w:t>
      </w:r>
      <w:r>
        <w:rPr>
          <w:rFonts w:ascii="Times New Roman;serif" w:hAnsi="Times New Roman;serif"/>
          <w:b w:val="false"/>
          <w:color w:val="000000"/>
          <w:sz w:val="22"/>
          <w:u w:val="single"/>
        </w:rPr>
        <w:t>Severance Plan</w:t>
      </w:r>
      <w:r>
        <w:rPr>
          <w:color w:val="000000"/>
        </w:rPr>
        <w:t>”</w:t>
      </w:r>
      <w:r>
        <w:rPr>
          <w:rFonts w:ascii="Times New Roman;serif" w:hAnsi="Times New Roman;serif"/>
          <w:b w:val="false"/>
          <w:color w:val="000000"/>
          <w:sz w:val="22"/>
        </w:rPr>
        <w:t>)), in accordance with the terms of the Severance Plan, as may be amended from time to time. The Severance Plan can be found on the Company’s Infoweb. The terms of the Severance Plan include that the Board has the discretionary authority to amend or terminate the Severance Plan in any respect by resolution adopted by a two-thirds or greater majority of the Board, unless a Change of Control has previously occurred. Any changes to the terms of the Severance Plan properly approved by the Board shall be binding on the RSUs being granted in the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2.3</w:t>
      </w:r>
      <w:r>
        <w:rPr>
          <w:rFonts w:ascii="Times New Roman;serif" w:hAnsi="Times New Roman;serif"/>
          <w:b w:val="false"/>
          <w:color w:val="000000"/>
          <w:sz w:val="22"/>
          <w:u w:val="single"/>
        </w:rPr>
        <w:t>Distribution or Payment of RSUs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Unless otherwise indicated in this Agreement, Participant’s RSUs shall be distributed in Shares (either in book-entry form or otherwise) or, at the option of the Company, paid in an amount of cash as set forth in Section 2.3(b), in either case, as soon as administratively practicable following the vesting of the applicable RSU pursuant to Section 2.2, and, in any event, within sixty (60) days following such vesting. Notwithstanding the foregoing, the Company may delay a distribution or payment in settlement of RSUs if it reasonably determines that such payment or distribution will violate securities laws or any other applicable law,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distribution or payment shall be made at the earliest date at which the Company reasonably determines that the making of such distribution or payment will not cause such violation, as required by Treasury Regulation Section 1.409A-2(b)(7)(ii), and </w:t>
      </w:r>
      <w:r>
        <w:rPr>
          <w:rFonts w:ascii="Times New Roman;serif" w:hAnsi="Times New Roman;serif"/>
          <w:b w:val="false"/>
          <w:i/>
          <w:color w:val="000000"/>
          <w:sz w:val="22"/>
        </w:rPr>
        <w:t>provided further</w:t>
      </w:r>
      <w:r>
        <w:rPr>
          <w:color w:val="000000"/>
        </w:rPr>
        <w:t xml:space="preserve"> </w:t>
      </w:r>
      <w:r>
        <w:rPr>
          <w:rFonts w:ascii="Times New Roman;serif" w:hAnsi="Times New Roman;serif"/>
          <w:b w:val="false"/>
          <w:color w:val="000000"/>
          <w:sz w:val="22"/>
        </w:rPr>
        <w:t>that no payment or distribution shall be delayed under this Section 2.3(a) if such delay will result in a violation of Section 409A of the Code.</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 the event that the Company elects to make payment of Participant’s RSUs in cash, the amount of cash payable with respect to each RSU shall be equal to the Fair Market Value of a Share on the trading day immediately preceding the applicable distribution or payment date set forth in Section 2.3(a). All distributions made in Shares shall be made by the Company only in the form of whole Shares. The Company, may, in its sole discretion round any fractional shares up or down to the nearest whole Share or distribute the fractional Shares in cash in an amount equal to the value of such fractional share determined based on the Fair Market Value as of the trading day immediately preceding the date of such distribution.</w:t>
      </w:r>
    </w:p>
    <w:p>
      <w:pPr>
        <w:pStyle w:val="TextBody"/>
        <w:bidi w:val="0"/>
        <w:spacing w:lineRule="auto" w:line="288" w:before="0" w:after="240"/>
        <w:ind w:left="0" w:right="0" w:firstLine="720"/>
        <w:jc w:val="both"/>
        <w:rPr/>
      </w:pPr>
      <w:r>
        <w:rPr>
          <w:rFonts w:ascii="Times New Roman;serif" w:hAnsi="Times New Roman;serif"/>
          <w:b w:val="false"/>
          <w:color w:val="000000"/>
          <w:sz w:val="22"/>
        </w:rPr>
        <w:t>2.4</w:t>
      </w:r>
      <w:r>
        <w:rPr>
          <w:rFonts w:ascii="Times New Roman;serif" w:hAnsi="Times New Roman;serif"/>
          <w:b w:val="false"/>
          <w:color w:val="000000"/>
          <w:sz w:val="22"/>
          <w:u w:val="single"/>
        </w:rPr>
        <w:t>Restrictions on Issuance / Compliance with Law</w:t>
      </w:r>
      <w:r>
        <w:rPr>
          <w:rFonts w:ascii="Times New Roman;serif" w:hAnsi="Times New Roman;serif"/>
          <w:b w:val="false"/>
          <w:color w:val="000000"/>
          <w:sz w:val="22"/>
        </w:rPr>
        <w:t>. Notwithstanding any other provision in the Plan or this Agreement, unless there is an available exemption from registration, qualification or other legal requirement applicable to the Shares, the Company shall not be required to issue any Shares to Participant prior to the completion of any registration or qualification of the Shares under any U.S. or non-U.S. local, state or federal securities or exchange control law or under rulings or regulations of the U.S. Securities and Exchange Commission (“</w:t>
      </w:r>
      <w:r>
        <w:rPr>
          <w:rFonts w:ascii="Times New Roman;serif" w:hAnsi="Times New Roman;serif"/>
          <w:b w:val="false"/>
          <w:color w:val="000000"/>
          <w:sz w:val="22"/>
          <w:u w:val="single"/>
        </w:rPr>
        <w:t>SEC</w:t>
      </w:r>
      <w:r>
        <w:rPr>
          <w:color w:val="000000"/>
        </w:rPr>
        <w:t>”</w:t>
      </w:r>
      <w:r>
        <w:rPr>
          <w:rFonts w:ascii="Times New Roman;serif" w:hAnsi="Times New Roman;serif"/>
          <w:b w:val="false"/>
          <w:color w:val="000000"/>
          <w:sz w:val="22"/>
        </w:rPr>
        <w:t xml:space="preserve">) or of any other governmental body, or prior to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obtaining any approval or other clearance from any U.S. or non-U.S. local, state or federal governmental agency, which registration, qualification or approval the Company shall, in its absolutely discretion, deem necessary or advisable. Participant understands that the Company is under no obligation to register or qualify the Shares with the SEC or any state or non-U.S. securities commission or to seek approval or clearance from any governmental authority for the issuance or sale of the Shares. Further, Participant agrees that the Company shall have unilateral authority to amend this Agreement without Participant’s consent, to the extent necessary to comply with securities or other laws applicable to the issuance of Shares. </w:t>
      </w:r>
    </w:p>
    <w:p>
      <w:pPr>
        <w:pStyle w:val="TextBody"/>
        <w:bidi w:val="0"/>
        <w:spacing w:lineRule="auto" w:line="288" w:before="0" w:after="240"/>
        <w:ind w:left="0" w:right="0" w:firstLine="720"/>
        <w:jc w:val="both"/>
        <w:rPr/>
      </w:pPr>
      <w:r>
        <w:rPr>
          <w:rFonts w:ascii="Times New Roman;serif" w:hAnsi="Times New Roman;serif"/>
          <w:b w:val="false"/>
          <w:color w:val="000000"/>
          <w:sz w:val="22"/>
        </w:rPr>
        <w:t>2.5</w:t>
      </w:r>
      <w:r>
        <w:rPr>
          <w:rFonts w:ascii="Times New Roman;serif" w:hAnsi="Times New Roman;serif"/>
          <w:b w:val="false"/>
          <w:color w:val="000000"/>
          <w:sz w:val="22"/>
          <w:u w:val="single"/>
        </w:rPr>
        <w:t>Tax Withholding</w:t>
      </w:r>
      <w:r>
        <w:rPr>
          <w:rFonts w:ascii="Times New Roman;serif" w:hAnsi="Times New Roman;serif"/>
          <w:b w:val="false"/>
          <w:color w:val="000000"/>
          <w:sz w:val="22"/>
        </w:rPr>
        <w:t>. Notwithstanding any other provision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Regardless of any action the Company and/or the Affiliate employing or otherwise retaining Participant (the “</w:t>
      </w:r>
      <w:r>
        <w:rPr>
          <w:rFonts w:ascii="Times New Roman;serif" w:hAnsi="Times New Roman;serif"/>
          <w:b w:val="false"/>
          <w:color w:val="000000"/>
          <w:sz w:val="22"/>
          <w:u w:val="single"/>
        </w:rPr>
        <w:t>Employer</w:t>
      </w:r>
      <w:r>
        <w:rPr>
          <w:color w:val="000000"/>
        </w:rPr>
        <w:t>”</w:t>
      </w:r>
      <w:r>
        <w:rPr>
          <w:rFonts w:ascii="Times New Roman;serif" w:hAnsi="Times New Roman;serif"/>
          <w:b w:val="false"/>
          <w:color w:val="000000"/>
          <w:sz w:val="22"/>
        </w:rPr>
        <w:t>) takes with respect to any or all income tax, social insurance, payroll tax, fringe benefits tax, payment on account or other tax-related items related to the participation in the Plan and legally applicable to Participant (“</w:t>
      </w:r>
      <w:r>
        <w:rPr>
          <w:rFonts w:ascii="Times New Roman;serif" w:hAnsi="Times New Roman;serif"/>
          <w:b w:val="false"/>
          <w:color w:val="000000"/>
          <w:sz w:val="22"/>
          <w:u w:val="single"/>
        </w:rPr>
        <w:t>Tax-Related Items</w:t>
      </w:r>
      <w:r>
        <w:rPr>
          <w:color w:val="000000"/>
        </w:rPr>
        <w:t>”</w:t>
      </w:r>
      <w:r>
        <w:rPr>
          <w:rFonts w:ascii="Times New Roman;serif" w:hAnsi="Times New Roman;serif"/>
          <w:b w:val="false"/>
          <w:color w:val="000000"/>
          <w:sz w:val="22"/>
        </w:rPr>
        <w:t>), Participant acknowledges that the ultimate liability for all Tax-Related Items is and remains Participant’s responsibility and may exceed the amount, if any, actually withheld by the Company or the Employer. Participant further acknowledges that neither the Company nor the Employer (i) make any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or (ii) commit to or are under any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Prior to any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their withholding obligations with regard to all Tax-Related Items by one or a combination of the following:</w:t>
      </w:r>
    </w:p>
    <w:p>
      <w:pPr>
        <w:pStyle w:val="TextBody"/>
        <w:bidi w:val="0"/>
        <w:spacing w:lineRule="auto" w:line="288" w:before="0" w:after="240"/>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by requiring payment by cash or check made payable to the Company and/or the Affiliate(s) with respect to which the withholding obligation arises; or</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by the deduction of such amount from salary, wages or other compensation payable to Participant;</w:t>
      </w:r>
    </w:p>
    <w:p>
      <w:pPr>
        <w:pStyle w:val="TextBody"/>
        <w:bidi w:val="0"/>
        <w:spacing w:lineRule="auto" w:line="288" w:before="0" w:after="240"/>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with respect to any Tax-Related Items arising in connection with the vesting and settlement of the RSUs, by withholding a net number of vested shares of Stock otherwise issuable pursuant to the RSUs to satisfy the Tax-Related Items;</w:t>
      </w:r>
    </w:p>
    <w:p>
      <w:pPr>
        <w:pStyle w:val="TextBody"/>
        <w:bidi w:val="0"/>
        <w:spacing w:lineRule="auto" w:line="288" w:before="0" w:after="240"/>
        <w:ind w:left="0" w:right="0" w:firstLine="2160"/>
        <w:jc w:val="both"/>
        <w:rPr/>
      </w:pPr>
      <w:r>
        <w:rPr>
          <w:rFonts w:ascii="Times New Roman;serif" w:hAnsi="Times New Roman;serif"/>
          <w:b w:val="false"/>
          <w:color w:val="000000"/>
          <w:sz w:val="22"/>
        </w:rPr>
        <w:t>(iv)</w:t>
      </w:r>
      <w:r>
        <w:rPr>
          <w:rFonts w:ascii="Times New Roman;serif" w:hAnsi="Times New Roman;serif"/>
          <w:b w:val="false"/>
          <w:color w:val="000000"/>
          <w:sz w:val="22"/>
        </w:rPr>
        <w:t>by withholding from proceeds of the sale of Shares acquired upon vesting/settlement of the RSUs either through a voluntary sale or through a mandatory sale arranged by the Company</w:t>
      </w:r>
      <w:r>
        <w:rPr>
          <w:color w:val="000000"/>
        </w:rPr>
        <w:t xml:space="preserve"> </w:t>
      </w:r>
      <w:r>
        <w:rPr>
          <w:rFonts w:ascii="Times New Roman;serif" w:hAnsi="Times New Roman;serif"/>
          <w:b w:val="false"/>
          <w:color w:val="000000"/>
          <w:sz w:val="22"/>
        </w:rPr>
        <w:t>(on Participant’s behalf pursuant to this authorization, without further consent); or</w:t>
      </w:r>
    </w:p>
    <w:p>
      <w:pPr>
        <w:pStyle w:val="TextBody"/>
        <w:bidi w:val="0"/>
        <w:spacing w:lineRule="auto" w:line="288" w:before="0" w:after="240"/>
        <w:ind w:left="0" w:right="0" w:firstLine="2160"/>
        <w:jc w:val="both"/>
        <w:rPr/>
      </w:pPr>
      <w:r>
        <w:rPr>
          <w:rFonts w:ascii="Times New Roman;serif" w:hAnsi="Times New Roman;serif"/>
          <w:b w:val="false"/>
          <w:color w:val="000000"/>
          <w:sz w:val="22"/>
        </w:rPr>
        <w:t>(v)</w:t>
      </w:r>
      <w:r>
        <w:rPr>
          <w:rFonts w:ascii="Times New Roman;serif" w:hAnsi="Times New Roman;serif"/>
          <w:b w:val="false"/>
          <w:color w:val="000000"/>
          <w:sz w:val="22"/>
        </w:rPr>
        <w:t xml:space="preserve">in any combination of the foregoing, or any other method determined by the Administrator to be in compliance with applicable laws.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The Company may withhold or account for Tax-Related Items by considering applicable minimum statutory withholding rates or other withholding rates, including up to and including maximum withholding rates in Participant’s jurisdiction(s). If the obligation for Tax-Related Items is satisfied by withholding in Shares, for tax purposes, Participant is deemed to have been issued the full number of Shares subject to the vested RSUs, notwithstanding that a number of the Shares is held back solely for the purpose of paying Tax-Related Items.</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and/or deliver Shares or proceeds from the sale of Shares, if Participant fails to comply with his or her obligations in connection with the Tax-Related Items.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In the event any tax withholding obligation arising in connection with the RSUs will be satisfied under Section 2.5(b)(iv), then the Company may elect to instruct any brokerage firm determined acceptable to the Company for such purpose to sell on Participant’s behalf (either through a voluntary sale or mandatory sale, without further consent) a whole number of Shares from the vested Shares then issuable to Participant pursuant to the RSUs as the Company determines to be appropriate to generate cash proceeds sufficient to satisfy the tax withholding obligation for Tax-Related Items and to remit the proceeds of such sale to the Company or the Affiliate with respect to which the withholding obligation arises. Participant’s acceptance of this Award constitutes Participant’s instruction and authorization to the Company and such brokerage firm to complete the transactions described in this Section 2.5(e), including the transactions described in the previous sentence, as applicable. The Company may refuse to issue any Shares in settlement of the RSUs to Participant until the foregoing tax withholding obligations are satisfied,</w:t>
      </w:r>
      <w:r>
        <w:rPr>
          <w:color w:val="000000"/>
        </w:rPr>
        <w:t xml:space="preserve">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no payment shall be delayed under this Section 2.5(e) if such delay will result in a violation of Section 409A of the Code.</w:t>
      </w:r>
    </w:p>
    <w:p>
      <w:pPr>
        <w:pStyle w:val="TextBody"/>
        <w:bidi w:val="0"/>
        <w:spacing w:lineRule="auto" w:line="288" w:before="0" w:after="240"/>
        <w:ind w:left="0" w:right="0" w:firstLine="720"/>
        <w:jc w:val="both"/>
        <w:rPr/>
      </w:pPr>
      <w:r>
        <w:rPr>
          <w:rFonts w:ascii="Times New Roman;serif" w:hAnsi="Times New Roman;serif"/>
          <w:b w:val="false"/>
          <w:color w:val="000000"/>
          <w:sz w:val="22"/>
        </w:rPr>
        <w:t>2.6</w:t>
      </w:r>
      <w:r>
        <w:rPr>
          <w:rFonts w:ascii="Times New Roman;serif" w:hAnsi="Times New Roman;serif"/>
          <w:b w:val="false"/>
          <w:color w:val="000000"/>
          <w:sz w:val="22"/>
          <w:u w:val="single"/>
        </w:rPr>
        <w:t>Nature of Grant</w:t>
      </w:r>
      <w:r>
        <w:rPr>
          <w:rFonts w:ascii="Times New Roman;serif" w:hAnsi="Times New Roman;serif"/>
          <w:b w:val="false"/>
          <w:color w:val="000000"/>
          <w:sz w:val="22"/>
        </w:rPr>
        <w:t>. In accepting this Award, Participant acknowledges, understands and agrees that: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the Plan is established voluntarily by the Company, it is discretionary in nature and it may be modified, amended, suspended or terminated by the Company at any time, to the extent permitted by the Plan;</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the grant of the RSUs is exceptional, voluntary and occasional and does not create any contractual or other right to receive future grants of RSUs, or benefits in lieu of RSUs, even if RSUs have been granted in the past;</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all decisions with respect to future RSUs or other grants, if any, will be at the sole discretion of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Participant is voluntarily participating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RSUs and the Shares subject to the RSUs, and the income from and value of same, are not intended to replace any pension rights or compensation;</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rPr>
        <w:t>the RSUs and the Shares subject to the RSUs, and the income from and value of same are not part of normal or expected compensation for purposes of, without limitation, calculating any severance, resignation, termination, redundancy, dismissal, end-of-service payments, holiday pay, bonuses, long-service awards, pension or retirement or welfare benefits or similar mandatory payments;</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rPr>
        <w:t>the future value of the underlying Shares is unknown, indeterminable and cannot be predicted with certainty;</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rPr>
        <w:t>no claim or entitlement to compensation or damages shall arise from forfeiture of the RSUs resulting from Participant’s Termination of Service (for any reason whatsoever and whether or not later found to be invalid or in breach of applicable laws in the jurisdiction where Participant is employed or otherwise rendering services, or the terms of Participant’s employment or other service agreement, if 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rPr>
        <w:t>unless otherwise agreed with the Company, the RSUs and the Shares acquired under the Plan, and the income from and value of same, are not granted as consideration for, or in connection with, any service Participant may provide as a director of any Parent or Affiliate;</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Stock of the Company; and</w:t>
      </w:r>
    </w:p>
    <w:p>
      <w:pPr>
        <w:pStyle w:val="TextBody"/>
        <w:bidi w:val="0"/>
        <w:spacing w:lineRule="auto" w:line="288"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rPr>
        <w:t>neither the Company, the Employer nor any other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upon settlement.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2.7</w:t>
      </w:r>
      <w:r>
        <w:rPr>
          <w:rFonts w:ascii="Times New Roman;serif" w:hAnsi="Times New Roman;serif"/>
          <w:b w:val="false"/>
          <w:color w:val="000000"/>
          <w:sz w:val="22"/>
          <w:u w:val="single"/>
        </w:rPr>
        <w:t>Rights as Stockholder</w:t>
      </w:r>
      <w:r>
        <w:rPr>
          <w:rFonts w:ascii="Times New Roman;serif" w:hAnsi="Times New Roman;serif"/>
          <w:b w:val="false"/>
          <w:color w:val="000000"/>
          <w:sz w:val="22"/>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ARTICLE III.</w:t>
      </w:r>
    </w:p>
    <w:p>
      <w:pPr>
        <w:pStyle w:val="TextBody"/>
        <w:bidi w:val="0"/>
        <w:spacing w:lineRule="auto" w:line="288" w:before="0" w:after="0"/>
        <w:jc w:val="center"/>
        <w:rPr/>
      </w:pPr>
      <w:r>
        <w:rPr>
          <w:rFonts w:ascii="Times New Roman;serif" w:hAnsi="Times New Roman;serif"/>
          <w:b/>
          <w:color w:val="000000"/>
          <w:sz w:val="22"/>
        </w:rPr>
        <w:t>ARTICLE IV.</w:t>
      </w:r>
      <w:r>
        <w:rPr>
          <w:rFonts w:ascii="Times New Roman;serif" w:hAnsi="Times New Roman;serif"/>
          <w:b/>
          <w:color w:val="000000"/>
          <w:sz w:val="22"/>
        </w:rP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Administration</w:t>
      </w:r>
      <w:r>
        <w:rPr>
          <w:rFonts w:ascii="Times New Roman;serif" w:hAnsi="Times New Roman;serif"/>
          <w:b w:val="false"/>
          <w:color w:val="000000"/>
          <w:sz w:val="22"/>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in accordance with applicable laws.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4.2</w:t>
      </w:r>
      <w:r>
        <w:rPr>
          <w:rFonts w:ascii="Times New Roman;serif" w:hAnsi="Times New Roman;serif"/>
          <w:b w:val="false"/>
          <w:color w:val="000000"/>
          <w:sz w:val="22"/>
          <w:u w:val="single"/>
        </w:rPr>
        <w:t>RSUs Not Transferable</w:t>
      </w:r>
      <w:r>
        <w:rPr>
          <w:rFonts w:ascii="Times New Roman;serif" w:hAnsi="Times New Roman;serif"/>
          <w:b w:val="false"/>
          <w:color w:val="000000"/>
          <w:sz w:val="22"/>
        </w:rPr>
        <w:t>. The RSUs shall be subject to the restrictions on transferability set forth in Section 11.3 of the Plan, subject to the Intuitive Surgical, Inc. Equity Domestic Relations Order Policy, effective July 1, 2014, as may be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4.3</w:t>
      </w:r>
      <w:r>
        <w:rPr>
          <w:rFonts w:ascii="Times New Roman;serif" w:hAnsi="Times New Roman;serif"/>
          <w:b w:val="false"/>
          <w:color w:val="000000"/>
          <w:sz w:val="22"/>
          <w:u w:val="single"/>
        </w:rPr>
        <w:t>Adjustments</w:t>
      </w:r>
      <w:r>
        <w:rPr>
          <w:rFonts w:ascii="Times New Roman;serif" w:hAnsi="Times New Roman;serif"/>
          <w:b w:val="false"/>
          <w:color w:val="000000"/>
          <w:sz w:val="22"/>
        </w:rPr>
        <w:t xml:space="preserve">. To the extent permitted under applicable laws, the Administrator may accelerate the vesting of all or a portion of the RSUs in such circumstances as it, in its sole discretion, may determine. Participant acknowledges that the RSUs and the Shares subject to the RSUs are subject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to adjustment, modification and termination in certain events as provided in this Agreement and the Plan, including Section 13.2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4.4</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any equivalent non-U.S. postal service.</w:t>
      </w:r>
    </w:p>
    <w:p>
      <w:pPr>
        <w:pStyle w:val="TextBody"/>
        <w:bidi w:val="0"/>
        <w:spacing w:lineRule="auto" w:line="288" w:before="0" w:after="240"/>
        <w:ind w:left="0" w:right="0" w:firstLine="720"/>
        <w:jc w:val="both"/>
        <w:rPr/>
      </w:pPr>
      <w:r>
        <w:rPr>
          <w:rFonts w:ascii="Times New Roman;serif" w:hAnsi="Times New Roman;serif"/>
          <w:b w:val="false"/>
          <w:color w:val="000000"/>
          <w:sz w:val="22"/>
        </w:rPr>
        <w:t>4.5</w:t>
      </w:r>
      <w:r>
        <w:rPr>
          <w:rFonts w:ascii="Times New Roman;serif" w:hAnsi="Times New Roman;serif"/>
          <w:b w:val="false"/>
          <w:color w:val="000000"/>
          <w:sz w:val="22"/>
          <w:u w:val="single"/>
        </w:rPr>
        <w:t>Titles</w:t>
      </w:r>
      <w:r>
        <w:rPr>
          <w:rFonts w:ascii="Times New Roman;serif" w:hAnsi="Times New Roman;serif"/>
          <w:b w:val="false"/>
          <w:color w:val="000000"/>
          <w:sz w:val="22"/>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4.6</w:t>
      </w:r>
      <w:r>
        <w:rPr>
          <w:rFonts w:ascii="Times New Roman;serif" w:hAnsi="Times New Roman;serif"/>
          <w:b w:val="false"/>
          <w:color w:val="000000"/>
          <w:sz w:val="22"/>
          <w:u w:val="single"/>
        </w:rPr>
        <w:t>No Advice Regarding Grant</w:t>
      </w:r>
      <w:r>
        <w:rPr>
          <w:rFonts w:ascii="Times New Roman;serif" w:hAnsi="Times New Roman;serif"/>
          <w:b w:val="false"/>
          <w:color w:val="000000"/>
          <w:sz w:val="22"/>
        </w:rPr>
        <w:t>. The Company is not providing any tax, legal or financial advice, nor is the Company making any recommendations regarding Participant’s participation in the Plan, or Participant’s acquisition or sale of the underlying Shares. Participant should consult with his or her own personal tax, legal and financial advisors regarding Participant’s participation in the Plan before taking any action related to the Plan.</w:t>
      </w:r>
    </w:p>
    <w:p>
      <w:pPr>
        <w:pStyle w:val="TextBody"/>
        <w:bidi w:val="0"/>
        <w:spacing w:lineRule="auto" w:line="288" w:before="0" w:after="240"/>
        <w:ind w:left="0" w:right="0" w:firstLine="720"/>
        <w:jc w:val="both"/>
        <w:rPr/>
      </w:pPr>
      <w:r>
        <w:rPr>
          <w:rFonts w:ascii="Times New Roman;serif" w:hAnsi="Times New Roman;serif"/>
          <w:b w:val="false"/>
          <w:color w:val="000000"/>
          <w:sz w:val="22"/>
        </w:rPr>
        <w:t>4.7</w:t>
      </w:r>
      <w:r>
        <w:rPr>
          <w:rFonts w:ascii="Times New Roman;serif" w:hAnsi="Times New Roman;serif"/>
          <w:b/>
          <w:i/>
          <w:color w:val="000000"/>
          <w:sz w:val="22"/>
          <w:u w:val="single"/>
        </w:rPr>
        <w:t>Data Privacy</w:t>
      </w:r>
      <w:r>
        <w:rPr>
          <w:rFonts w:ascii="Times New Roman;serif" w:hAnsi="Times New Roman;serif"/>
          <w:b/>
          <w:i/>
          <w:color w:val="000000"/>
          <w:sz w:val="22"/>
        </w:rPr>
        <w:t xml:space="preserve">. If Participant would like to participate in the Plan, Participant will need to review the information provided in this Section 3.7 and, where applicable, declare consent to the processing and/or transfer of personal data as described below.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i/>
          <w:color w:val="000000"/>
          <w:sz w:val="22"/>
          <w:u w:val="single"/>
        </w:rPr>
        <w:t>EEA+ Controller and Representative</w:t>
      </w:r>
      <w:r>
        <w:rPr>
          <w:rFonts w:ascii="Times New Roman;serif" w:hAnsi="Times New Roman;serif"/>
          <w:b/>
          <w:i/>
          <w:color w:val="000000"/>
          <w:sz w:val="22"/>
        </w:rPr>
        <w:t>. If Participant is based in the European Union, the European Economic Area or the United Kingdom (collectively “</w:t>
      </w:r>
      <w:r>
        <w:rPr>
          <w:rFonts w:ascii="Times New Roman;serif" w:hAnsi="Times New Roman;serif"/>
          <w:b/>
          <w:i/>
          <w:color w:val="000000"/>
          <w:sz w:val="22"/>
          <w:u w:val="single"/>
        </w:rPr>
        <w:t>EEA+</w:t>
      </w:r>
      <w:r>
        <w:rPr>
          <w:color w:val="000000"/>
        </w:rPr>
        <w:t>”</w:t>
      </w:r>
      <w:r>
        <w:rPr>
          <w:rFonts w:ascii="Times New Roman;serif" w:hAnsi="Times New Roman;serif"/>
          <w:b/>
          <w:i/>
          <w:color w:val="000000"/>
          <w:sz w:val="22"/>
        </w:rPr>
        <w:t>), Participant should note that the Company, with its registered address at 1020 Kifer Road, Sunnyvale, California 94086, United States of America, is the controller responsible for the processing of Participant’s personal data in connection with the Agreement and the Plan. The Company is represented in the EEA+ by Intuitive Surgical SAS, Cité de la Photonique, bâtiment Gienah, 11 avenue de Canteranne, 33600 Pessac, France.</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i/>
          <w:color w:val="000000"/>
          <w:sz w:val="22"/>
          <w:u w:val="single"/>
        </w:rPr>
        <w:t>Data Collection and Usage</w:t>
      </w:r>
      <w:r>
        <w:rPr>
          <w:rFonts w:ascii="Times New Roman;serif" w:hAnsi="Times New Roman;serif"/>
          <w:b/>
          <w:i/>
          <w:color w:val="000000"/>
          <w:sz w:val="22"/>
        </w:rPr>
        <w:t>. The Company collects, uses and otherwise processes certain personal data about Participant, including but not limited to, Participant’s name, home address and telephone number, email address, date of birth, social insurance number, passport or other identification number, salary, nationality, job title, any Stock or directorships held in the Company, details of all RSUs granted under the Plan or other entitlement to Shares awarded, canceled, exercised, vested, unvested or outstanding in Participant’s favor, which the Company receives from Participant, the Employer or otherwise in connection with this Agreement or the Plan (“</w:t>
      </w:r>
      <w:r>
        <w:rPr>
          <w:rFonts w:ascii="Times New Roman;serif" w:hAnsi="Times New Roman;serif"/>
          <w:b/>
          <w:i/>
          <w:color w:val="000000"/>
          <w:sz w:val="22"/>
          <w:u w:val="single"/>
        </w:rPr>
        <w:t>Data</w:t>
      </w:r>
      <w:r>
        <w:rPr>
          <w:color w:val="000000"/>
        </w:rPr>
        <w:t>”</w:t>
      </w:r>
      <w:r>
        <w:rPr>
          <w:rFonts w:ascii="Times New Roman;serif" w:hAnsi="Times New Roman;serif"/>
          <w:b/>
          <w:i/>
          <w:color w:val="000000"/>
          <w:sz w:val="22"/>
        </w:rPr>
        <w:t>), for the legitimate purposes of implementing, administering and managing the Plan and allocating shares of Stock pursuant to the Plan.</w:t>
      </w:r>
    </w:p>
    <w:p>
      <w:pPr>
        <w:pStyle w:val="TextBody"/>
        <w:bidi w:val="0"/>
        <w:spacing w:lineRule="auto" w:line="288" w:before="0" w:after="240"/>
        <w:ind w:left="0" w:right="0" w:firstLine="1440"/>
        <w:jc w:val="both"/>
        <w:rPr>
          <w:rFonts w:ascii="Times New Roman;serif" w:hAnsi="Times New Roman;serif"/>
          <w:b/>
          <w:i/>
          <w:color w:val="000000"/>
          <w:sz w:val="22"/>
        </w:rPr>
      </w:pPr>
      <w:r>
        <w:rPr>
          <w:rFonts w:ascii="Times New Roman;serif" w:hAnsi="Times New Roman;serif"/>
          <w:b/>
          <w:i/>
          <w:color w:val="000000"/>
          <w:sz w:val="22"/>
        </w:rPr>
        <w:t xml:space="preserve">If Participant is based in the EEA+, the legal basis, where required, for the processing of Data by the Company is the necessity of the Data processing for the Company’s performance of its obligations under the Plan, and where applicable, the Company’s legitimate interest of complying with contractual or other statutory obligations to which it is subject. </w:t>
      </w:r>
    </w:p>
    <w:p>
      <w:pPr>
        <w:pStyle w:val="TextBody"/>
        <w:bidi w:val="0"/>
        <w:spacing w:lineRule="auto" w:line="288" w:before="0" w:after="240"/>
        <w:ind w:left="0" w:right="0" w:firstLine="1440"/>
        <w:jc w:val="both"/>
        <w:rPr>
          <w:rFonts w:ascii="Times New Roman;serif" w:hAnsi="Times New Roman;serif"/>
          <w:b/>
          <w:i/>
          <w:color w:val="000000"/>
          <w:sz w:val="22"/>
        </w:rPr>
      </w:pPr>
      <w:r>
        <w:rPr>
          <w:rFonts w:ascii="Times New Roman;serif" w:hAnsi="Times New Roman;serif"/>
          <w:b/>
          <w:i/>
          <w:color w:val="000000"/>
          <w:sz w:val="22"/>
        </w:rPr>
        <w:t xml:space="preserve">If Participant is based outside of the EEA+, the Company’s legal basis for the processing of Data is Participant’s consent, as further described below.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i/>
          <w:color w:val="000000"/>
          <w:sz w:val="22"/>
          <w:u w:val="single"/>
        </w:rPr>
        <w:t>Stock Plan Administration Service Providers</w:t>
      </w:r>
      <w:r>
        <w:rPr>
          <w:rFonts w:ascii="Times New Roman;serif" w:hAnsi="Times New Roman;serif"/>
          <w:b/>
          <w:i/>
          <w:color w:val="000000"/>
          <w:sz w:val="22"/>
        </w:rPr>
        <w:t>: The Company transfers Data to E*TRADE Financial Services, Inc. and certain of its affiliated companies (the “Designated Broker”), an independent service provider based in the United States, which is assisting the Company with the implementation, administration and management of the Plan. In the future, the Company may select a different service provider and share Data with such other provider serving in a similar manner. The Designated Broker may open an account for Participant to receive and trade Shares acquired under the Plan. Participant may be asked to agree on separate terms and data processing practices with the Designated Broker, with such agreement being a condition to the ability to participate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i/>
          <w:color w:val="000000"/>
          <w:sz w:val="22"/>
          <w:u w:val="single"/>
        </w:rPr>
        <w:t>International Data Transfers</w:t>
      </w:r>
      <w:r>
        <w:rPr>
          <w:rFonts w:ascii="Times New Roman;serif" w:hAnsi="Times New Roman;serif"/>
          <w:b/>
          <w:i/>
          <w:color w:val="000000"/>
          <w:sz w:val="22"/>
        </w:rPr>
        <w:t xml:space="preserve">: The Company and the Designated Broker are based in the United States, which means that it will be necessary for Data to be transferred to, and processed in, the United States. Participant should note that his or her country may have enacted data privacy laws that are different from the United States. For example, Participant understands and acknowledges that the United States is not subject to an unlimited adequacy finding by the European Commission and that Participant’s Data may not have an equivalent level of protection as compared to Participant’s country of residence. </w:t>
      </w:r>
    </w:p>
    <w:p>
      <w:pPr>
        <w:pStyle w:val="TextBody"/>
        <w:bidi w:val="0"/>
        <w:spacing w:lineRule="auto" w:line="288" w:before="0" w:after="240"/>
        <w:jc w:val="both"/>
        <w:rPr>
          <w:rFonts w:ascii="Times New Roman;serif" w:hAnsi="Times New Roman;serif"/>
          <w:b/>
          <w:i/>
          <w:color w:val="000000"/>
          <w:sz w:val="22"/>
        </w:rPr>
      </w:pPr>
      <w:r>
        <w:rPr>
          <w:rFonts w:ascii="Times New Roman;serif" w:hAnsi="Times New Roman;serif"/>
          <w:b/>
          <w:i/>
          <w:color w:val="000000"/>
          <w:sz w:val="22"/>
        </w:rPr>
        <w:t>The onward transfer of Data from the Company to the Designated Broker or, as the case may be, a different service provider of the Company is based solely on Participant’s consent, as further described below.</w:t>
      </w:r>
    </w:p>
    <w:p>
      <w:pPr>
        <w:pStyle w:val="TextBody"/>
        <w:bidi w:val="0"/>
        <w:spacing w:lineRule="auto" w:line="288" w:before="0" w:after="240"/>
        <w:ind w:left="0" w:right="0" w:firstLine="1440"/>
        <w:jc w:val="both"/>
        <w:rPr>
          <w:rFonts w:ascii="Times New Roman;serif" w:hAnsi="Times New Roman;serif"/>
          <w:b/>
          <w:i/>
          <w:color w:val="000000"/>
          <w:sz w:val="22"/>
        </w:rPr>
      </w:pPr>
      <w:r>
        <w:rPr>
          <w:rFonts w:ascii="Times New Roman;serif" w:hAnsi="Times New Roman;serif"/>
          <w:b/>
          <w:i/>
          <w:color w:val="000000"/>
          <w:sz w:val="22"/>
        </w:rPr>
        <w:t xml:space="preserve">If Participant is based outside of the EEA+, Data will be transferred from Participant’s jurisdiction to the Company and onward from the Company to any of its service providers based on Participant’s consent, as further described below. </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i/>
          <w:color w:val="000000"/>
          <w:sz w:val="22"/>
          <w:u w:val="single"/>
        </w:rPr>
        <w:t>Data Retention</w:t>
      </w:r>
      <w:r>
        <w:rPr>
          <w:rFonts w:ascii="Times New Roman;serif" w:hAnsi="Times New Roman;serif"/>
          <w:b/>
          <w:i/>
          <w:color w:val="000000"/>
          <w:sz w:val="22"/>
        </w:rPr>
        <w:t xml:space="preserve">: The Company will hold and use the Data only as long as is necessary to implement, administer and manage Participant’s participation in the Plan, or as required to comply with legal or regulatory obligations, including under tax, exchange control, securities and labor laws.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i/>
          <w:color w:val="000000"/>
          <w:sz w:val="22"/>
          <w:u w:val="single"/>
        </w:rPr>
        <w:t>Data Subject Rights</w:t>
      </w:r>
      <w:r>
        <w:rPr>
          <w:rFonts w:ascii="Times New Roman;serif" w:hAnsi="Times New Roman;serif"/>
          <w:b/>
          <w:i/>
          <w:color w:val="000000"/>
          <w:sz w:val="22"/>
        </w:rPr>
        <w:t>: Participant may have a number of rights under data privacy laws in Participant’s jurisdiction. Depending on where Participant is based, such rights may include the right to (i) request access to or copies of Data the Company processes, (ii) rectify incorrect Data, (iii) delete Data, (iv) restrict the processing of Data, (v) object to the processing of Data for legitimate interests, (vi) restrict the portability of Data, and/or (vii) lodge complaints with competent authorities in Participant’s jurisdiction. To receive additional information regarding these rights or to exercise these rights, Participant can contact the Company’s global privacy officer at data.privacy@intusurg.com.</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i/>
          <w:color w:val="000000"/>
          <w:sz w:val="22"/>
          <w:u w:val="single"/>
        </w:rPr>
        <w:t>Necessary Disclosure of Personal Data</w:t>
      </w:r>
      <w:r>
        <w:rPr>
          <w:rFonts w:ascii="Times New Roman;serif" w:hAnsi="Times New Roman;serif"/>
          <w:b/>
          <w:i/>
          <w:color w:val="000000"/>
          <w:sz w:val="22"/>
        </w:rPr>
        <w:t xml:space="preserve">. Participant understands that providing the Company with Data is necessary for the performance of the Agreement and that Participant’s refusal to provide Data would make it impossible for the Company to perform its contractual obligations and may affect Participant’s ability to participate in the Plan. </w:t>
      </w:r>
    </w:p>
    <w:p>
      <w:pPr>
        <w:pStyle w:val="TextBody"/>
        <w:bidi w:val="0"/>
        <w:spacing w:lineRule="auto" w:line="288" w:before="0" w:after="200"/>
        <w:ind w:left="0" w:right="0" w:firstLine="1440"/>
        <w:jc w:val="both"/>
        <w:rPr/>
      </w:pPr>
      <w:r>
        <w:rPr>
          <w:rFonts w:ascii="Times New Roman;serif" w:hAnsi="Times New Roman;serif"/>
          <w:b w:val="false"/>
          <w:color w:val="000000"/>
          <w:sz w:val="22"/>
        </w:rPr>
        <w:t>(h)</w:t>
      </w:r>
      <w:r>
        <w:rPr>
          <w:rFonts w:ascii="Times New Roman;serif" w:hAnsi="Times New Roman;serif"/>
          <w:b/>
          <w:i/>
          <w:color w:val="000000"/>
          <w:sz w:val="22"/>
          <w:u w:val="single"/>
        </w:rPr>
        <w:t>Voluntariness and Consequences of Consent Denial or Withdrawal</w:t>
      </w:r>
      <w:r>
        <w:rPr>
          <w:rFonts w:ascii="Times New Roman;serif" w:hAnsi="Times New Roman;serif"/>
          <w:b/>
          <w:i/>
          <w:color w:val="000000"/>
          <w:sz w:val="22"/>
        </w:rPr>
        <w:t>: Participation in the Plan is voluntary and Participant is providing the consents herein on a voluntary basis. Participant understands that he or she may request to stop the transfer and processing of the Data for purposes of participation in the Plan and that Participant’s compensation from or</w:t>
        <w:br/>
        <w:t xml:space="preserve">employment relationship with the Employer will not be affected. The only consequence of refusing or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i/>
          <w:color w:val="000000"/>
          <w:sz w:val="22"/>
        </w:rPr>
      </w:pPr>
      <w:r>
        <w:rPr>
          <w:rFonts w:ascii="Times New Roman;serif" w:hAnsi="Times New Roman;serif"/>
          <w:b/>
          <w:i/>
          <w:color w:val="000000"/>
          <w:sz w:val="22"/>
        </w:rPr>
        <w:t>withdrawing consent is that the Company would not be able to allow Participant to participate in the Plan. Participant understands that the Data will still be processed in relation to his or her employment or service relationship and for record-keeping purposes. For more information on the consequences of refusal to consent or withdrawal of consent, Participant should contact the Company’s global privacy officer at data.privacy@intusurg.com.</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w:t>
      </w:r>
    </w:p>
    <w:tbl>
      <w:tblPr>
        <w:tblW w:w="10205" w:type="dxa"/>
        <w:jc w:val="left"/>
        <w:tblInd w:w="0" w:type="dxa"/>
        <w:tblLayout w:type="fixed"/>
        <w:tblCellMar>
          <w:top w:w="28" w:type="dxa"/>
          <w:left w:w="28" w:type="dxa"/>
          <w:bottom w:w="28" w:type="dxa"/>
          <w:right w:w="28" w:type="dxa"/>
        </w:tblCellMar>
      </w:tblPr>
      <w:tblGrid>
        <w:gridCol w:w="3264"/>
        <w:gridCol w:w="2869"/>
        <w:gridCol w:w="4072"/>
      </w:tblGrid>
      <w:tr>
        <w:trPr/>
        <w:tc>
          <w:tcPr>
            <w:tcW w:w="3264"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120" w:after="283"/>
              <w:jc w:val="both"/>
              <w:rPr/>
            </w:pPr>
            <w:r>
              <w:rPr>
                <w:rFonts w:ascii="Times New Roman;serif" w:hAnsi="Times New Roman;serif"/>
                <w:b/>
                <w:i/>
                <w:color w:val="000000"/>
                <w:sz w:val="22"/>
                <w:u w:val="single"/>
              </w:rPr>
              <w:t>Declaration of Consent</w:t>
            </w:r>
            <w:r>
              <w:rPr>
                <w:rFonts w:ascii="Times New Roman;serif" w:hAnsi="Times New Roman;serif"/>
                <w:b/>
                <w:i/>
                <w:color w:val="000000"/>
                <w:sz w:val="22"/>
              </w:rPr>
              <w:t xml:space="preserve">. If Participant is based in the EEA+, by accepting the RSUs and indicating consent by signing the Grant Notice or through the Company’s online acceptance procedure, Participant explicitly declares his or her consent to the onward transfer of Data by the Company to the Designated Broker or, as the case may be, a different service provider of the Company in the U.S. as described above. </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If Participant is based outside of the EEA+, by accepting the RSUs and indicating consent by signing the Grant Notice or through the Company’s online acceptance procedure, Participant explicitly declares his or her consent to the entirety of the Data processing operations described above including, without limitation, the onward transfer of Data by the Company to the Designated Broker or, as the case may be, a different service provider of the Company in the U.S.</w:t>
            </w:r>
          </w:p>
        </w:tc>
      </w:tr>
    </w:tbl>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4.8</w:t>
      </w:r>
      <w:r>
        <w:rPr>
          <w:rFonts w:ascii="Times New Roman;serif" w:hAnsi="Times New Roman;serif"/>
          <w:b w:val="false"/>
          <w:color w:val="000000"/>
          <w:sz w:val="22"/>
          <w:u w:val="single"/>
        </w:rPr>
        <w:t>Governing Law/Venue</w:t>
      </w:r>
      <w:r>
        <w:rPr>
          <w:rFonts w:ascii="Times New Roman;serif" w:hAnsi="Times New Roman;serif"/>
          <w:b w:val="false"/>
          <w:color w:val="000000"/>
          <w:sz w:val="22"/>
        </w:rPr>
        <w:t>. The laws of the State of Delaware shall govern the interpretation, validity, administration, enforcement and performance of the terms of this Agreement regardless of the law that might be applied under principles of conflicts of laws. For purposes of litigating any dispute that arises directly or indirectly from the relationship of the parties evidenced by this Agreement, the parties hereby submit to and consent the courts of Santa Clara County, California, or the federal courts for the United States for the Northern District of California, and no other courts.</w:t>
      </w:r>
    </w:p>
    <w:p>
      <w:pPr>
        <w:pStyle w:val="TextBody"/>
        <w:bidi w:val="0"/>
        <w:spacing w:lineRule="auto" w:line="288" w:before="0" w:after="240"/>
        <w:ind w:left="0" w:right="0" w:firstLine="720"/>
        <w:jc w:val="both"/>
        <w:rPr/>
      </w:pPr>
      <w:r>
        <w:rPr>
          <w:rFonts w:ascii="Times New Roman;serif" w:hAnsi="Times New Roman;serif"/>
          <w:b w:val="false"/>
          <w:color w:val="000000"/>
          <w:sz w:val="22"/>
        </w:rPr>
        <w:t>4.9</w:t>
      </w:r>
      <w:r>
        <w:rPr>
          <w:rFonts w:ascii="Times New Roman;serif" w:hAnsi="Times New Roman;serif"/>
          <w:b w:val="false"/>
          <w:color w:val="000000"/>
          <w:sz w:val="22"/>
          <w:u w:val="single"/>
        </w:rPr>
        <w:t>Conformity to Applicable Law</w:t>
      </w:r>
      <w:r>
        <w:rPr>
          <w:rFonts w:ascii="Times New Roman;serif" w:hAnsi="Times New Roman;serif"/>
          <w:b w:val="false"/>
          <w:color w:val="000000"/>
          <w:sz w:val="22"/>
        </w:rPr>
        <w:t>. Participant acknowledges that the Plan, the Grant Notice and this Agreement are intended to conform to the extent necessary with all applicable laws, including, without limitation, the provisions of the U.S. Securities Act and the Exchange Act, and any and all regulations and rules promulgated thereunder by the U.S. Securities and Exchange Commission, and any other laws and regulations. Notwithstanding anything herein to the contrary, the Plan shall be administered, and the RSUs are granted, only in such a manner as to conform to such applicable law. To the extent permitted by applicable law, the Plan and this Agreement shall be deemed amended to the extent necessary to conform to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4.10</w:t>
      </w:r>
      <w:r>
        <w:rPr>
          <w:rFonts w:ascii="Times New Roman;serif" w:hAnsi="Times New Roman;serif"/>
          <w:b w:val="false"/>
          <w:color w:val="000000"/>
          <w:sz w:val="22"/>
          <w:u w:val="single"/>
        </w:rPr>
        <w:t>Amendment, Suspension and Termination</w:t>
      </w:r>
      <w:r>
        <w:rPr>
          <w:rFonts w:ascii="Times New Roman;serif" w:hAnsi="Times New Roman;serif"/>
          <w:b w:val="false"/>
          <w:color w:val="000000"/>
          <w:sz w:val="22"/>
        </w:rPr>
        <w:t>. To the extent permitted by the Plan, this Agreement may be wholly or partially amended or otherwise modified, suspended or terminated at any time or from time to time by the Administrator or the Board</w:t>
      </w:r>
      <w:r>
        <w:rPr>
          <w:rFonts w:ascii="Times New Roman;serif" w:hAnsi="Times New Roman;serif"/>
          <w:b w:val="false"/>
          <w:i/>
          <w:color w:val="000000"/>
          <w:sz w:val="22"/>
        </w:rPr>
        <w:t>, provided</w:t>
      </w:r>
      <w:r>
        <w:rPr>
          <w:color w:val="000000"/>
        </w:rPr>
        <w:t xml:space="preserve"> </w:t>
      </w:r>
      <w:r>
        <w:rPr>
          <w:rFonts w:ascii="Times New Roman;serif" w:hAnsi="Times New Roman;serif"/>
          <w:b w:val="false"/>
          <w:color w:val="000000"/>
          <w:sz w:val="22"/>
        </w:rPr>
        <w:t>that, except as may otherwise be provided by the Plan, no amendment, modification, suspension or termination of this Agreement shall adversely affect the RSUs in any material way without the prior written consent of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4.11</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4.12</w:t>
      </w:r>
      <w:r>
        <w:rPr>
          <w:rFonts w:ascii="Times New Roman;serif" w:hAnsi="Times New Roman;serif"/>
          <w:b w:val="false"/>
          <w:color w:val="000000"/>
          <w:sz w:val="22"/>
          <w:u w:val="single"/>
        </w:rPr>
        <w:t>Limitations Applicable to Section 16 Persons</w:t>
      </w:r>
      <w:r>
        <w:rPr>
          <w:rFonts w:ascii="Times New Roman;serif" w:hAnsi="Times New Roman;serif"/>
          <w:b w:val="false"/>
          <w:color w:val="000000"/>
          <w:sz w:val="22"/>
        </w:rPr>
        <w:t>. Notwithstanding any other provision of the Plan or this Agreement, if Participant is subject to Section 16 of the Exchange Act, the Plan, the RSUs,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2"/>
        </w:rPr>
        <w:t>4.13</w:t>
      </w:r>
      <w:r>
        <w:rPr>
          <w:rFonts w:ascii="Times New Roman;serif" w:hAnsi="Times New Roman;serif"/>
          <w:b w:val="false"/>
          <w:color w:val="000000"/>
          <w:sz w:val="22"/>
          <w:u w:val="single"/>
        </w:rPr>
        <w:t>Not a Contract of Employment</w:t>
      </w:r>
      <w:r>
        <w:rPr>
          <w:rFonts w:ascii="Times New Roman;serif" w:hAnsi="Times New Roman;serif"/>
          <w:b w:val="false"/>
          <w:color w:val="000000"/>
          <w:sz w:val="22"/>
        </w:rPr>
        <w:t>. Nothing in this Agreement or in the Plan shall create an employment or service relationship with, or confer upon Participant any right to continue to serve as an employee or other service provider of, the Company or any Affiliate, or shall interfere with or restrict in any way the rights of the Company and its Affiliates, which rights are hereby expressly reserved, to discharge or terminate the services of Participant at any time for any reason whatsoever, with or without cause, except to the extent expressly provided otherwise in a written agreement between the Company or an Affiliate and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4.14</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The Plan, the Grant Notice and this Agreement (including the Appendix and any other exhibit hereto) constitute the entire agreement of the parties and supersede in their entirety all prior undertakings and agreements of the Company and Participant with respect to the subject matter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4.15</w:t>
      </w:r>
      <w:r>
        <w:rPr>
          <w:rFonts w:ascii="Times New Roman;serif" w:hAnsi="Times New Roman;serif"/>
          <w:b w:val="false"/>
          <w:color w:val="000000"/>
          <w:sz w:val="22"/>
          <w:u w:val="single"/>
        </w:rPr>
        <w:t>Section 409A</w:t>
      </w:r>
      <w:r>
        <w:rPr>
          <w:rFonts w:ascii="Times New Roman;serif" w:hAnsi="Times New Roman;serif"/>
          <w:b w:val="false"/>
          <w:color w:val="000000"/>
          <w:sz w:val="22"/>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serif" w:hAnsi="Times New Roman;serif"/>
          <w:b w:val="false"/>
          <w:color w:val="000000"/>
          <w:sz w:val="22"/>
          <w:u w:val="single"/>
        </w:rPr>
        <w:t>Section 409A</w:t>
      </w:r>
      <w:r>
        <w:rPr>
          <w:color w:val="000000"/>
        </w:rPr>
        <w:t>”</w:t>
      </w:r>
      <w:r>
        <w:rPr>
          <w:rFonts w:ascii="Times New Roman;serif" w:hAnsi="Times New Roman;serif"/>
          <w:b w:val="false"/>
          <w:color w:val="000000"/>
          <w:sz w:val="22"/>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2"/>
        </w:rPr>
        <w:t>4.16</w:t>
      </w:r>
      <w:r>
        <w:rPr>
          <w:rFonts w:ascii="Times New Roman;serif" w:hAnsi="Times New Roman;serif"/>
          <w:b w:val="false"/>
          <w:color w:val="000000"/>
          <w:sz w:val="22"/>
          <w:u w:val="single"/>
        </w:rPr>
        <w:t>Language</w:t>
      </w:r>
      <w:r>
        <w:rPr>
          <w:rFonts w:ascii="Times New Roman;serif" w:hAnsi="Times New Roman;serif"/>
          <w:b w:val="false"/>
          <w:color w:val="000000"/>
          <w:sz w:val="22"/>
        </w:rPr>
        <w:t>. Participant acknowledges that Participant is sufficiently proficient in English or has consulted with an advisor who is sufficiently proficient in English, so as to allow Participant to understand the terms and conditions of this Agreement. If Participant has received this Agreement or any other document related to the Plan translated into a language other than English and if the meaning of the translated version is different than the English version, the English version will control.</w:t>
      </w:r>
    </w:p>
    <w:p>
      <w:pPr>
        <w:pStyle w:val="TextBody"/>
        <w:bidi w:val="0"/>
        <w:spacing w:lineRule="auto" w:line="288" w:before="0" w:after="240"/>
        <w:ind w:left="0" w:right="0" w:firstLine="720"/>
        <w:jc w:val="both"/>
        <w:rPr/>
      </w:pPr>
      <w:r>
        <w:rPr>
          <w:rFonts w:ascii="Times New Roman;serif" w:hAnsi="Times New Roman;serif"/>
          <w:b w:val="false"/>
          <w:color w:val="000000"/>
          <w:sz w:val="22"/>
        </w:rPr>
        <w:t>4.17</w:t>
      </w:r>
      <w:r>
        <w:rPr>
          <w:rFonts w:ascii="Times New Roman;serif" w:hAnsi="Times New Roman;serif"/>
          <w:b w:val="false"/>
          <w:color w:val="000000"/>
          <w:sz w:val="22"/>
          <w:u w:val="single"/>
        </w:rPr>
        <w:t>Electronic Delivery and Acceptance</w:t>
      </w:r>
      <w:r>
        <w:rPr>
          <w:rFonts w:ascii="Times New Roman;serif" w:hAnsi="Times New Roman;serif"/>
          <w:b w:val="false"/>
          <w:color w:val="000000"/>
          <w:sz w:val="22"/>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2"/>
        </w:rPr>
        <w:t>4.18</w:t>
      </w:r>
      <w:r>
        <w:rPr>
          <w:rFonts w:ascii="Times New Roman;serif" w:hAnsi="Times New Roman;serif"/>
          <w:b w:val="false"/>
          <w:color w:val="000000"/>
          <w:sz w:val="22"/>
          <w:u w:val="single"/>
        </w:rPr>
        <w:t>Agreement Severable</w:t>
      </w:r>
      <w:r>
        <w:rPr>
          <w:rFonts w:ascii="Times New Roman;serif" w:hAnsi="Times New Roman;serif"/>
          <w:b w:val="false"/>
          <w:color w:val="000000"/>
          <w:sz w:val="22"/>
        </w:rPr>
        <w:t xml:space="preserve">. In the event that any provision of the Grant Notice or this Agreement is held invalid or unenforceable, such provision will be severable from, and such invalidity or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unenforceability will not be construed to have any effect on, the remaining provisions of the Grant Notice or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4.19</w:t>
      </w:r>
      <w:r>
        <w:rPr>
          <w:rFonts w:ascii="Times New Roman;serif" w:hAnsi="Times New Roman;serif"/>
          <w:b w:val="false"/>
          <w:color w:val="000000"/>
          <w:sz w:val="22"/>
          <w:u w:val="single"/>
        </w:rPr>
        <w:t>Appendix</w:t>
      </w:r>
      <w:r>
        <w:rPr>
          <w:rFonts w:ascii="Times New Roman;serif" w:hAnsi="Times New Roman;serif"/>
          <w:b w:val="false"/>
          <w:color w:val="000000"/>
          <w:sz w:val="22"/>
        </w:rPr>
        <w:t>. Notwithstanding any provisions in this Agreement, the RSUs shall be subject to any additional terms and conditions for Participant’s country set forth in the Appendix attached hereto. Moreover, if Participant relocates to one of the countries included in the Appendix, the additional terms and conditions for such country, if any, will apply to Participant, to the extent the Company determines that the application of such terms and conditions is necessary or advisable for legal or administrative reasons. The Appendix constitutes part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4.20</w:t>
      </w:r>
      <w:r>
        <w:rPr>
          <w:rFonts w:ascii="Times New Roman;serif" w:hAnsi="Times New Roman;serif"/>
          <w:b w:val="false"/>
          <w:color w:val="000000"/>
          <w:sz w:val="22"/>
          <w:u w:val="single"/>
        </w:rPr>
        <w:t>Imposition of Other Requirements</w:t>
      </w:r>
      <w:r>
        <w:rPr>
          <w:rFonts w:ascii="Times New Roman;serif" w:hAnsi="Times New Roman;serif"/>
          <w:b w:val="false"/>
          <w:color w:val="000000"/>
          <w:sz w:val="22"/>
        </w:rPr>
        <w:t xml:space="preserve">. The Company reserves the right to impose other requirements on Participant’s participation in the Plan, on the RSUs and on any Shares acquired under the Plan, to the extent the Company determines it is necessary or advisable for legal or administrative reasons, and to require Participant to sign any additional agreements or undertakings that may be necessary to accomplish the foregoing. </w:t>
      </w:r>
    </w:p>
    <w:p>
      <w:pPr>
        <w:pStyle w:val="TextBody"/>
        <w:bidi w:val="0"/>
        <w:spacing w:lineRule="auto" w:line="288" w:before="0" w:after="240"/>
        <w:ind w:left="0" w:right="0" w:firstLine="720"/>
        <w:jc w:val="both"/>
        <w:rPr/>
      </w:pPr>
      <w:r>
        <w:rPr>
          <w:rFonts w:ascii="Times New Roman;serif" w:hAnsi="Times New Roman;serif"/>
          <w:b w:val="false"/>
          <w:color w:val="000000"/>
          <w:sz w:val="22"/>
        </w:rPr>
        <w:t>4.21</w:t>
      </w:r>
      <w:r>
        <w:rPr>
          <w:rFonts w:ascii="Times New Roman;serif" w:hAnsi="Times New Roman;serif"/>
          <w:b w:val="false"/>
          <w:color w:val="000000"/>
          <w:sz w:val="22"/>
          <w:u w:val="single"/>
        </w:rPr>
        <w:t>Insider Trading Restrictions/Market Abuse Laws</w:t>
      </w:r>
      <w:r>
        <w:rPr>
          <w:rFonts w:ascii="Times New Roman;serif" w:hAnsi="Times New Roman;serif"/>
          <w:b w:val="false"/>
          <w:color w:val="000000"/>
          <w:sz w:val="22"/>
        </w:rPr>
        <w:t>. Participant acknowledges that he or she may be subject to insider trading restrictions and/or market abuse laws in applicable jurisdictions, including but not limited to the United States, Participant’s country, the broker’s country and the country or countries in which the Stock is listed, which may affect Participant’s ability, directly or indirectly, to purchase or sell, or attempt to sell or otherwise dispose of Shares, rights to Shares (</w:t>
      </w:r>
      <w:r>
        <w:rPr>
          <w:rFonts w:ascii="Times New Roman;serif" w:hAnsi="Times New Roman;serif"/>
          <w:b w:val="false"/>
          <w:i/>
          <w:color w:val="000000"/>
          <w:sz w:val="22"/>
        </w:rPr>
        <w:t>e.g</w:t>
      </w:r>
      <w:r>
        <w:rPr>
          <w:rFonts w:ascii="Times New Roman;serif" w:hAnsi="Times New Roman;serif"/>
          <w:b w:val="false"/>
          <w:color w:val="000000"/>
          <w:sz w:val="22"/>
        </w:rPr>
        <w:t>., RSUs), or rights linked to the value of Shares, during such times as Participant is considered to have “inside information” regarding the Company (as defined by the laws in the applicable jurisdiction(s)). Local insider trading laws and regulations prohibit the cancellation or amendment of orders Participant placed before possessing the inside information. Furthermore, Participant understands that he or she may be prohibited from (i) disclosing the inside information to any third party, including fellow employees (other than on a “need to know” basis) and (ii) “tipping” third parties by sharing with them Company insider information, or otherwise causing third parties to buy or sell Company securities. Any restrictions under these laws or regulations are separate from and in addition to any restrictions that may apply to Participant under any applicable Company insider trading policy. Participant acknowledges that it is Participant’s responsibility to comply with any applicable restrictions, and Participant should speak to his or her personal advisor on this matter.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4.22</w:t>
      </w:r>
      <w:r>
        <w:rPr>
          <w:rFonts w:ascii="Times New Roman;serif" w:hAnsi="Times New Roman;serif"/>
          <w:b w:val="false"/>
          <w:color w:val="000000"/>
          <w:sz w:val="22"/>
          <w:u w:val="single"/>
        </w:rPr>
        <w:t>Foreign Asset/Account Reporting Requirements</w:t>
      </w:r>
      <w:r>
        <w:rPr>
          <w:rFonts w:ascii="Times New Roman;serif" w:hAnsi="Times New Roman;serif"/>
          <w:b w:val="false"/>
          <w:color w:val="000000"/>
          <w:sz w:val="22"/>
        </w:rPr>
        <w:t xml:space="preserve">. If Participant resides in a country outside the United States, there may be certain foreign asset and/or account reporting requirements which may affect Participant’s ability to acquire or hold Shares or cash received from participating in the Plan (including from any dividends paid on Shares) in a brokerage account or bank outside of Participant’s country. Participant may be required to report such accounts, assets or related transactions to the tax or other authorities in Participant’s country. Participant may also be required to repatriate sale proceeds or other funds received as a result of participating in the Plan to Participant’s country within a certain time after receipt. It is Participant’s responsibility to comply with such regulations and Participant should speak to his or her personal legal advisor on this matter. </w:t>
      </w:r>
    </w:p>
    <w:p>
      <w:pPr>
        <w:pStyle w:val="TextBody"/>
        <w:bidi w:val="0"/>
        <w:spacing w:lineRule="auto" w:line="288" w:before="0" w:after="240"/>
        <w:ind w:left="0" w:right="0" w:firstLine="720"/>
        <w:jc w:val="both"/>
        <w:rPr/>
      </w:pPr>
      <w:r>
        <w:rPr>
          <w:rFonts w:ascii="Times New Roman;serif" w:hAnsi="Times New Roman;serif"/>
          <w:b w:val="false"/>
          <w:color w:val="000000"/>
          <w:sz w:val="22"/>
        </w:rPr>
        <w:t>4.23</w:t>
      </w:r>
      <w:r>
        <w:rPr>
          <w:rFonts w:ascii="Times New Roman;serif" w:hAnsi="Times New Roman;serif"/>
          <w:b w:val="false"/>
          <w:color w:val="000000"/>
          <w:sz w:val="22"/>
          <w:u w:val="single"/>
        </w:rPr>
        <w:t>Limitation on Participant’s Rights</w:t>
      </w:r>
      <w:r>
        <w:rPr>
          <w:rFonts w:ascii="Times New Roman;serif" w:hAnsi="Times New Roman;serif"/>
          <w:b w:val="false"/>
          <w:color w:val="000000"/>
          <w:sz w:val="22"/>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2"/>
        </w:rPr>
        <w:t>4.24</w:t>
      </w:r>
      <w:r>
        <w:rPr>
          <w:rFonts w:ascii="Times New Roman;serif" w:hAnsi="Times New Roman;serif"/>
          <w:b w:val="false"/>
          <w:color w:val="000000"/>
          <w:sz w:val="22"/>
          <w:u w:val="single"/>
        </w:rPr>
        <w:t>Clawback</w:t>
      </w:r>
      <w:r>
        <w:rPr>
          <w:rFonts w:ascii="Times New Roman;serif" w:hAnsi="Times New Roman;serif"/>
          <w:b w:val="false"/>
          <w:color w:val="000000"/>
          <w:sz w:val="22"/>
        </w:rPr>
        <w:t>. All Awards and any Shares acquired in respect thereof will be subject to recoupment by the Company to the extent required to comply with applicable law or any policy of the Company providing for the reimbursement of incentive compensation, whether or not such policy is in place at the time of grant or payment of the Award.</w:t>
      </w:r>
    </w:p>
    <w:p>
      <w:pPr>
        <w:pStyle w:val="TextBody"/>
        <w:bidi w:val="0"/>
        <w:spacing w:lineRule="auto" w:line="288" w:before="0" w:after="240"/>
        <w:ind w:left="0" w:right="0" w:firstLine="720"/>
        <w:jc w:val="both"/>
        <w:rPr/>
      </w:pPr>
      <w:r>
        <w:rPr>
          <w:rFonts w:ascii="Times New Roman;serif" w:hAnsi="Times New Roman;serif"/>
          <w:b w:val="false"/>
          <w:color w:val="000000"/>
          <w:sz w:val="22"/>
        </w:rPr>
        <w:t>4.25</w:t>
      </w:r>
      <w:r>
        <w:rPr>
          <w:rFonts w:ascii="Times New Roman;serif" w:hAnsi="Times New Roman;serif"/>
          <w:b w:val="false"/>
          <w:color w:val="000000"/>
          <w:sz w:val="22"/>
          <w:u w:val="single"/>
        </w:rPr>
        <w:t>Counterparts</w:t>
      </w:r>
      <w:r>
        <w:rPr>
          <w:rFonts w:ascii="Times New Roman;serif" w:hAnsi="Times New Roman;serif"/>
          <w:b w:val="false"/>
          <w:color w:val="000000"/>
          <w:sz w:val="22"/>
        </w:rPr>
        <w:t>. The Grant Notice may be executed in one or more counterparts, including by way of any electronic signature, subject to applicable law, each of which shall be deemed an original and all of which together shall constitute one instrument.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4.26</w:t>
      </w:r>
      <w:r>
        <w:rPr>
          <w:rFonts w:ascii="Times New Roman;serif" w:hAnsi="Times New Roman;serif"/>
          <w:b w:val="false"/>
          <w:color w:val="000000"/>
          <w:sz w:val="22"/>
          <w:u w:val="single"/>
        </w:rPr>
        <w:t>Deemed Acceptance of Agreement for Participants in the United States</w:t>
      </w:r>
      <w:r>
        <w:rPr>
          <w:rFonts w:ascii="Times New Roman;serif" w:hAnsi="Times New Roman;serif"/>
          <w:b w:val="false"/>
          <w:color w:val="000000"/>
          <w:sz w:val="22"/>
        </w:rPr>
        <w:t>. In the event Participant works and/or resides in the United States, unless Participant notifies the Company within ten (10) calendar days following receipt of the Grant Notice and this Agreement that Participant declines the Award, Participant will be deemed to have accepted and agreed to the terms and conditions of the Grant Notice, this Agreement and the Plan. Participant acknowledges receipt of a copy of the Plan and represents that Participant is familiar with the terms and provisions thereof, which are incorporated herein by reference.</w:t>
      </w:r>
    </w:p>
    <w:p>
      <w:pPr>
        <w:pStyle w:val="TextBody"/>
        <w:bidi w:val="0"/>
        <w:spacing w:lineRule="auto" w:line="288" w:before="0" w:after="240"/>
        <w:ind w:left="0" w:right="0" w:firstLine="720"/>
        <w:jc w:val="both"/>
        <w:rPr/>
      </w:pPr>
      <w:r>
        <w:rPr>
          <w:rFonts w:ascii="Times New Roman;serif" w:hAnsi="Times New Roman;serif"/>
          <w:b w:val="false"/>
          <w:color w:val="000000"/>
          <w:sz w:val="22"/>
        </w:rPr>
        <w:t>4.27</w:t>
      </w:r>
      <w:r>
        <w:rPr>
          <w:rFonts w:ascii="Times New Roman;serif" w:hAnsi="Times New Roman;serif"/>
          <w:b w:val="false"/>
          <w:color w:val="000000"/>
          <w:sz w:val="22"/>
          <w:u w:val="single"/>
        </w:rPr>
        <w:t>Waiver</w:t>
      </w:r>
      <w:r>
        <w:rPr>
          <w:rFonts w:ascii="Times New Roman;serif" w:hAnsi="Times New Roman;serif"/>
          <w:b w:val="false"/>
          <w:color w:val="000000"/>
          <w:sz w:val="22"/>
        </w:rPr>
        <w:t>. Participant acknowledges that a waiver by the Company of breach of any provision of this Agreement shall not operate or be construed as a waiver of any other provision of this Agreement, or of any subsequent breach by Participant or any other Participant.</w:t>
      </w:r>
    </w:p>
    <w:p>
      <w:pPr>
        <w:pStyle w:val="TextBody"/>
        <w:bidi w:val="0"/>
        <w:spacing w:lineRule="auto" w:line="288" w:before="0" w:after="200"/>
        <w:jc w:val="center"/>
        <w:rPr>
          <w:rFonts w:ascii="Times New Roman;serif" w:hAnsi="Times New Roman;serif"/>
          <w:b w:val="false"/>
          <w:color w:val="000000"/>
          <w:sz w:val="22"/>
        </w:rPr>
      </w:pPr>
      <w:r>
        <w:rPr>
          <w:rFonts w:ascii="Times New Roman;serif" w:hAnsi="Times New Roman;serif"/>
          <w:b w:val="false"/>
          <w:color w:val="000000"/>
          <w:sz w:val="22"/>
        </w:rPr>
        <w:t>* * * * *</w:t>
      </w:r>
    </w:p>
    <w:p>
      <w:pPr>
        <w:pStyle w:val="TextBody"/>
        <w:bidi w:val="0"/>
        <w:spacing w:before="0" w:after="200"/>
        <w:jc w:val="lef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APPENDIX</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THE AMENDED AND RESTATED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INTUITIVE SURGICAL, INC. 2010 INCENTIVE AWARD PLAN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GLOBAL RESTRICTED STOCK UNIT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 PARTICIPANTS OUTSIDE OF THE UNITED STATES</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Capitalized terms used but not defined herein shall have the meanings ascribed to them in the Global Restricted Stock Unit Agreement (the “Agreement”) or the Plan.</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Appendix includes additional terms and conditions that govern the Award granted to Participant under the Plan if Participant works and/or resides in one of the countries listed below. This Appendix forms part of the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Company shall, in its discretion, determine to what extent the terms and conditions contained herein shall be applicable to Participant.</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 xml:space="preserve">Notifications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Appendix also includes information regarding exchange control and certain other issues which Participant should be award with respect to participation in the Plan. The information is based on the exchange control, securities and other laws in effect in the respective countries as of November 2022. Such laws are often complex and change frequently. As a result, the Company strongly recommends that Participant not rely on the information in this Appendix as the only source of information relating to the consequences of Participant’s participation in the Plan because the information may be out of date at the time Participant vests in the RSUs and acquires Shares or sells Shares acquired under the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personal situation.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Finally, if Participant is a citizen or resident of a country other than the one in which Participant is currently residing and/or working, transfers employment and/or residency to another country after the Grant Date, or is considered a resident of another country for local law purposes, the information contained herein may not be applicable to Participant in the same manner.</w:t>
      </w:r>
    </w:p>
    <w:p>
      <w:pPr>
        <w:pStyle w:val="TextBody"/>
        <w:bidi w:val="0"/>
        <w:spacing w:before="0" w:after="0"/>
        <w:jc w:val="left"/>
        <w:rPr/>
      </w:pPr>
      <w:r>
        <w:rPr/>
      </w:r>
    </w:p>
    <w:p>
      <w:pPr>
        <w:pStyle w:val="TextBody"/>
        <w:bidi w:val="0"/>
        <w:spacing w:before="0" w:after="200"/>
        <w:jc w:val="left"/>
        <w:rPr/>
      </w:pPr>
      <w:r>
        <w:rPr/>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AUSTRALIA</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lineRule="auto" w:line="288" w:before="240" w:after="283"/>
        <w:jc w:val="both"/>
        <w:rPr/>
      </w:pPr>
      <w:r>
        <w:rPr>
          <w:rFonts w:ascii="Times New Roman;serif" w:hAnsi="Times New Roman;serif"/>
          <w:b/>
          <w:color w:val="000000"/>
          <w:sz w:val="22"/>
        </w:rPr>
        <w:t>Tax Information</w:t>
      </w:r>
      <w:r>
        <w:rPr>
          <w:rFonts w:ascii="Times New Roman;serif" w:hAnsi="Times New Roman;serif"/>
          <w:b w:val="false"/>
          <w:color w:val="000000"/>
          <w:sz w:val="22"/>
        </w:rPr>
        <w:t>. The Plan is a plan to which Subdivision 83A-C of the Income Tax Assessment Act 1997 (Cth) ) (the “Act”) applies (subject to the conditions in the Act).</w:t>
      </w:r>
    </w:p>
    <w:p>
      <w:pPr>
        <w:pStyle w:val="TextBody"/>
        <w:bidi w:val="0"/>
        <w:spacing w:lineRule="auto" w:line="288" w:before="240" w:after="283"/>
        <w:jc w:val="both"/>
        <w:rPr/>
      </w:pPr>
      <w:r>
        <w:rPr>
          <w:rFonts w:ascii="Times New Roman;serif" w:hAnsi="Times New Roman;serif"/>
          <w:b/>
          <w:color w:val="000000"/>
          <w:sz w:val="22"/>
        </w:rPr>
        <w:t xml:space="preserve">Exchange Control Information. </w:t>
      </w:r>
      <w:r>
        <w:rPr>
          <w:rFonts w:ascii="Times New Roman;serif" w:hAnsi="Times New Roman;serif"/>
          <w:b w:val="false"/>
          <w:color w:val="000000"/>
          <w:sz w:val="22"/>
        </w:rPr>
        <w:t xml:space="preserve">Exchange control reporting is required for cash transactions exceeding A$10,000 and international fund transfers of any amount. The Australian bank assisting with the transaction will file the report for Participant. If there is no Australian bank involved with the transfer, Participant will have to file the report. </w:t>
      </w:r>
    </w:p>
    <w:p>
      <w:pPr>
        <w:pStyle w:val="TextBody"/>
        <w:bidi w:val="0"/>
        <w:spacing w:lineRule="auto" w:line="288" w:before="240" w:after="283"/>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The grant of RSUs is being made under Division 1A, Part 7.12 of the </w:t>
      </w:r>
      <w:r>
        <w:rPr>
          <w:rFonts w:ascii="Times New Roman;serif" w:hAnsi="Times New Roman;serif"/>
          <w:b w:val="false"/>
          <w:i/>
          <w:color w:val="000000"/>
          <w:sz w:val="22"/>
        </w:rPr>
        <w:t>Corporations Act 2001 (Cth)</w:t>
      </w:r>
      <w:r>
        <w:rPr>
          <w:rFonts w:ascii="Times New Roman;serif" w:hAnsi="Times New Roman;serif"/>
          <w:b w:val="false"/>
          <w:color w:val="000000"/>
          <w:sz w:val="22"/>
        </w:rPr>
        <w:t>. If Participant offers Shares for sale to a person or entity resident in Australia, the offer may be subject to disclosure requirements under Australian law. Participant should obtain legal advice on applicable disclosure obligations prior to making any such offer.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AUSTRIA</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BELGIUM</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lineRule="auto" w:line="288" w:before="0" w:after="0"/>
        <w:jc w:val="both"/>
        <w:rPr/>
      </w:pPr>
      <w:r>
        <w:rPr>
          <w:rFonts w:ascii="Times New Roman;serif" w:hAnsi="Times New Roman;serif"/>
          <w:b/>
          <w:color w:val="000000"/>
          <w:sz w:val="22"/>
        </w:rPr>
        <w:t>Stock Exchange Tax</w:t>
      </w:r>
      <w:r>
        <w:rPr>
          <w:rFonts w:ascii="Times New Roman;serif" w:hAnsi="Times New Roman;serif"/>
          <w:b w:val="false"/>
          <w:color w:val="000000"/>
          <w:sz w:val="22"/>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BULGARIA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lineRule="auto" w:line="288" w:before="240" w:after="283"/>
        <w:jc w:val="center"/>
        <w:rPr>
          <w:rFonts w:ascii="Times New Roman;serif" w:hAnsi="Times New Roman;serif"/>
          <w:b/>
          <w:color w:val="000000"/>
          <w:sz w:val="22"/>
          <w:u w:val="single"/>
        </w:rPr>
      </w:pPr>
      <w:r>
        <w:rPr>
          <w:rFonts w:ascii="Times New Roman;serif" w:hAnsi="Times New Roman;serif"/>
          <w:b/>
          <w:color w:val="000000"/>
          <w:sz w:val="22"/>
          <w:u w:val="single"/>
        </w:rPr>
        <w:t>CANADA</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0"/>
        <w:jc w:val="left"/>
        <w:rPr/>
      </w:pPr>
      <w:r>
        <w:rPr>
          <w:rFonts w:ascii="Times New Roman;serif" w:hAnsi="Times New Roman;serif"/>
          <w:b/>
          <w:color w:val="000000"/>
          <w:sz w:val="22"/>
        </w:rPr>
        <w:t>Form of Delivery</w:t>
      </w:r>
      <w:r>
        <w:rPr>
          <w:rFonts w:ascii="Times New Roman;serif" w:hAnsi="Times New Roman;serif"/>
          <w:b w:val="false"/>
          <w:color w:val="000000"/>
          <w:sz w:val="22"/>
        </w:rPr>
        <w:t>. The following provision supplements Section 2.3 of the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 discretion contained in the Plan and the Agreement, the RSUs will not be settled in cash or a combination of cash and Shares. The RSUs will be settled only in Shares. </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color w:val="000000"/>
          <w:sz w:val="22"/>
        </w:rPr>
        <w:t>Nature of Grant</w:t>
      </w:r>
      <w:r>
        <w:rPr>
          <w:rFonts w:ascii="Times New Roman;serif" w:hAnsi="Times New Roman;serif"/>
          <w:b w:val="false"/>
          <w:color w:val="000000"/>
          <w:sz w:val="22"/>
        </w:rPr>
        <w:t>. The following provision replaces Section 2.2(b) of the Agreement: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In the event Participant incurs a Termination of Service, except as may be otherwise provided by the Administrator or as set forth in a written agreement between Participant and the Company, Participant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shall immediately forfeit any and all RSUs granted under this Agreement which have not vested or do not vest on or prior to the date on which such Termination of Service occurs, and Participant’s rights in any such RSUs which are not so vested shall lapse and expire.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For purposes of the RSUs, Participant’s Termination of Service will be deemed to occur as of the date that is the earlier of (i) the date of Participant’s termination, (ii) the date Participant receives notice of termination, or (iii) the date Participant is no longer actively providing services and will not be extended by any notice period (</w:t>
      </w:r>
      <w:r>
        <w:rPr>
          <w:rFonts w:ascii="Times New Roman;serif" w:hAnsi="Times New Roman;serif"/>
          <w:b w:val="false"/>
          <w:i/>
          <w:color w:val="000000"/>
          <w:sz w:val="22"/>
        </w:rPr>
        <w:t>e.g</w:t>
      </w:r>
      <w:r>
        <w:rPr>
          <w:rFonts w:ascii="Times New Roman;serif" w:hAnsi="Times New Roman;serif"/>
          <w:b w:val="false"/>
          <w:color w:val="000000"/>
          <w:sz w:val="22"/>
        </w:rPr>
        <w:t xml:space="preserve">., active service would not include any contractual notice period or any period of “garden leave” or similar period mandated under Canadian laws or the terms of Participant’s employment or service agreement, if any), regardless of the reason for such termination and whether or not later found to be invalid or in breach of applicable laws in the jurisdiction where Participant is employed or providing services or the terms of his or her employment or service agreement, if any; unless otherwise expressly provided in this Agreement or determined by the Company, Participant’s right to vest in the RSUs under the Plan, if any, will terminate as of such date; in the event that the date the Participant is no longer actively providing services cannot be reasonably determined under the terms of this Agreement and the Plan, the Administrator shall have the exclusive discretion to determine when Participant is no longer actively providing services for purposes of his or her RSUs (including whether Participant may still be considered to be providing services while on a leave of absence). Notwithstanding the foregoing, if applicable employment legislation explicitly requires continued vesting during a statutory notice period, Participant’s right to vest in the RSUs, if any, will terminate effective as of the last date of the minimum statutory notice period, but Participant will not earn or be entitled to pro-rated vesting if the vesting date falls after the end of Participant’s statutory notice period, nor will Participant be entitled to any compensation for lost vesting. </w:t>
      </w:r>
    </w:p>
    <w:p>
      <w:pPr>
        <w:pStyle w:val="TextBody"/>
        <w:bidi w:val="0"/>
        <w:spacing w:lineRule="auto" w:line="288" w:before="100" w:after="100"/>
        <w:jc w:val="left"/>
        <w:rPr>
          <w:rFonts w:ascii="Times New Roman;serif" w:hAnsi="Times New Roman;serif"/>
          <w:b w:val="false"/>
          <w:i/>
          <w:color w:val="000000"/>
          <w:sz w:val="22"/>
        </w:rPr>
      </w:pPr>
      <w:r>
        <w:rPr>
          <w:rFonts w:ascii="Times New Roman;serif" w:hAnsi="Times New Roman;serif"/>
          <w:b w:val="false"/>
          <w:i/>
          <w:color w:val="000000"/>
          <w:sz w:val="22"/>
        </w:rPr>
        <w:t>The following provisions apply to residents of Quebec:</w:t>
      </w:r>
    </w:p>
    <w:p>
      <w:pPr>
        <w:pStyle w:val="TextBody"/>
        <w:bidi w:val="0"/>
        <w:spacing w:lineRule="auto" w:line="288" w:before="100" w:after="100"/>
        <w:jc w:val="both"/>
        <w:rPr/>
      </w:pPr>
      <w:r>
        <w:rPr>
          <w:rFonts w:ascii="Times New Roman;serif" w:hAnsi="Times New Roman;serif"/>
          <w:b/>
          <w:color w:val="000000"/>
          <w:sz w:val="22"/>
        </w:rPr>
        <w:t>Language Consent</w:t>
      </w:r>
      <w:r>
        <w:rPr>
          <w:rFonts w:ascii="Times New Roman;serif" w:hAnsi="Times New Roman;serif"/>
          <w:b w:val="false"/>
          <w:color w:val="000000"/>
          <w:sz w:val="22"/>
        </w:rPr>
        <w:t>. A French translation of the Plan, Grant Notice and the Agreement will be made available to Participant as soon as reasonably practicable. Participant understands that, from time to time, additional information related to the offering of the Plan might be provided in English and such information may not be immediately available in French. However, upon request, the Company will translate into French documents related to the offering of the Plan as soon as reasonably practicable.</w:t>
      </w:r>
    </w:p>
    <w:p>
      <w:pPr>
        <w:pStyle w:val="TextBody"/>
        <w:bidi w:val="0"/>
        <w:spacing w:lineRule="auto" w:line="288" w:before="0" w:after="0"/>
        <w:jc w:val="both"/>
        <w:rPr/>
      </w:pPr>
      <w:r>
        <w:rPr>
          <w:rFonts w:ascii="Times New Roman;serif" w:hAnsi="Times New Roman;serif"/>
          <w:b/>
          <w:i/>
          <w:color w:val="000000"/>
          <w:sz w:val="22"/>
        </w:rPr>
        <w:t>Consentement à la Langue Utilisée</w:t>
      </w:r>
      <w:r>
        <w:rPr>
          <w:rFonts w:ascii="Times New Roman;serif" w:hAnsi="Times New Roman;serif"/>
          <w:b w:val="false"/>
          <w:i/>
          <w:color w:val="000000"/>
          <w:sz w:val="22"/>
        </w:rPr>
        <w:t>. Une traduction française du Plan, de l'Avis d'octroi et de la présente Entente sera mise à la disposition de Participant dès que raisonnablement possible. Participant comprend que, de temps à autre, des informations supplémentaires liées à l'offre du Plan peuvent être fournies en anglais et que ces informations peuvent ne pas être immédiatement disponibles en français. Cependant, sur demande, Intuitive Surgical traduira en français les documents relatifs à l'offre du Plan dès que raisonnablement possible</w:t>
      </w:r>
    </w:p>
    <w:p>
      <w:pPr>
        <w:pStyle w:val="TextBody"/>
        <w:bidi w:val="0"/>
        <w:spacing w:lineRule="auto" w:line="288" w:before="100" w:after="100"/>
        <w:jc w:val="left"/>
        <w:rPr/>
      </w:pPr>
      <w:r>
        <w:rPr>
          <w:rFonts w:ascii="Times New Roman;serif" w:hAnsi="Times New Roman;serif"/>
          <w:b/>
          <w:color w:val="000000"/>
          <w:sz w:val="22"/>
        </w:rPr>
        <w:t>Data Privacy</w:t>
      </w:r>
      <w:r>
        <w:rPr>
          <w:rFonts w:ascii="Times New Roman;serif" w:hAnsi="Times New Roman;serif"/>
          <w:b w:val="false"/>
          <w:color w:val="000000"/>
          <w:sz w:val="22"/>
        </w:rPr>
        <w:t>. The following provision supplements Section 3.7 of the Agreement:</w:t>
      </w:r>
    </w:p>
    <w:p>
      <w:pPr>
        <w:pStyle w:val="TextBody"/>
        <w:bidi w:val="0"/>
        <w:spacing w:lineRule="auto" w:line="288"/>
        <w:jc w:val="both"/>
        <w:rPr>
          <w:rFonts w:ascii="Times New Roman;serif" w:hAnsi="Times New Roman;serif"/>
          <w:b/>
          <w:i/>
          <w:color w:val="000000"/>
          <w:sz w:val="22"/>
        </w:rPr>
      </w:pPr>
      <w:r>
        <w:rPr>
          <w:rFonts w:ascii="Times New Roman;serif" w:hAnsi="Times New Roman;serif"/>
          <w:b/>
          <w:i/>
          <w:color w:val="000000"/>
          <w:sz w:val="22"/>
        </w:rPr>
        <w:t xml:space="preserve">Participant authorizes the Company and the Company’s representatives to discuss with and obtain all relevant information from all personnel, professional or non-professional, involved with the administration of the Plan. Participant further authorizes the Company, the Employer, any Affiliate, E*TRADE Financial Services, Inc. and any other stock plan service provider as may be selected by the Company from time to time to assist with the Plan, to disclose and discuss the Plan with their advisors. Participant acknowledges and agrees that Participant’s personal information, including sensitive personal information, may be transferred or disclosed outside of the Province of Quebec, including to the United States. Participant also authorizes the Company and the Employer to record such information and to keep such information in Participant’s employee file. Participant also acknowledges and authorizes the Company, its Affiliates and other parties involved in the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i/>
          <w:color w:val="000000"/>
          <w:sz w:val="22"/>
        </w:rPr>
      </w:pPr>
      <w:r>
        <w:rPr>
          <w:rFonts w:ascii="Times New Roman;serif" w:hAnsi="Times New Roman;serif"/>
          <w:b/>
          <w:i/>
          <w:color w:val="000000"/>
          <w:sz w:val="22"/>
        </w:rPr>
        <w:t>administration of the Plan to use technology for profiling purposes and to make automated decisions that may have an impact on Participant or the administration of the Plan.</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lineRule="auto" w:line="288" w:before="0" w:after="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The sale of Shares acquired under the Plan may not take place in Canada. This requirement will be satisfied where the Shares are sold by the designated broker under the Plan through the facilities of the U.S. stock exchange on which the Shares are currently listed (</w:t>
      </w:r>
      <w:r>
        <w:rPr>
          <w:rFonts w:ascii="Times New Roman;serif" w:hAnsi="Times New Roman;serif"/>
          <w:b w:val="false"/>
          <w:i/>
          <w:color w:val="000000"/>
          <w:sz w:val="22"/>
        </w:rPr>
        <w:t>i.e.</w:t>
      </w:r>
      <w:r>
        <w:rPr>
          <w:rFonts w:ascii="Times New Roman;serif" w:hAnsi="Times New Roman;serif"/>
          <w:b w:val="false"/>
          <w:color w:val="000000"/>
          <w:sz w:val="22"/>
        </w:rPr>
        <w:t>, the Nasdaq Global Select Market).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CZECH REPUBLIC</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FINLAND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FRANCE</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RSUs Not Tax-Qualified</w:t>
      </w:r>
      <w:r>
        <w:rPr>
          <w:rFonts w:ascii="Times New Roman;serif" w:hAnsi="Times New Roman;serif"/>
          <w:b w:val="false"/>
          <w:color w:val="000000"/>
          <w:sz w:val="22"/>
        </w:rPr>
        <w:t xml:space="preserve">. The RSUs granted under this Agreement are not intended to qualify for special tax and social security treatment pursuant to Sections L. 225-197-1 to L. 225-197-5 and Sections L. 22-10-59 to L. 22-10-60 of the French Commercial Code, as amended. </w:t>
      </w:r>
    </w:p>
    <w:p>
      <w:pPr>
        <w:pStyle w:val="TextBody"/>
        <w:bidi w:val="0"/>
        <w:spacing w:lineRule="auto" w:line="288" w:before="0" w:after="240"/>
        <w:jc w:val="both"/>
        <w:rPr/>
      </w:pPr>
      <w:r>
        <w:rPr>
          <w:rFonts w:ascii="Times New Roman;serif" w:hAnsi="Times New Roman;serif"/>
          <w:b/>
          <w:color w:val="000000"/>
          <w:sz w:val="22"/>
        </w:rPr>
        <w:t>Language Consent</w:t>
      </w:r>
      <w:r>
        <w:rPr>
          <w:rFonts w:ascii="Times New Roman;serif" w:hAnsi="Times New Roman;serif"/>
          <w:b w:val="false"/>
          <w:color w:val="000000"/>
          <w:sz w:val="22"/>
        </w:rPr>
        <w:t xml:space="preserve">. By accepting the RSUs, Participant confirms having read and understood the Plan and Agreement, including all terms and conditions included therein, which were provided in the English language. Participant accepts the terms of those documents accordingly. </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En acceptant ces "RSUs", le Participant confirme avoir lu et compris le Plan et Accord de, incluant tous leurs termes et conditions, qui ont été transmis en langue anglaise. Le Participant accepte les dispositions de ces documents en connaissance de cause.</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GERMANY</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HONG KONG</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0"/>
        <w:jc w:val="left"/>
        <w:rPr/>
      </w:pPr>
      <w:r>
        <w:rPr>
          <w:rFonts w:ascii="Times New Roman;serif" w:hAnsi="Times New Roman;serif"/>
          <w:b/>
          <w:color w:val="000000"/>
          <w:sz w:val="22"/>
        </w:rPr>
        <w:t>Form of Delivery</w:t>
      </w:r>
      <w:r>
        <w:rPr>
          <w:rFonts w:ascii="Times New Roman;serif" w:hAnsi="Times New Roman;serif"/>
          <w:b w:val="false"/>
          <w:color w:val="000000"/>
          <w:sz w:val="22"/>
        </w:rPr>
        <w:t>. The following provision supplements Section 2.3 of the Agreement: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any discretion contained in the Plan and the Agreement, the RSUs will not be settled in cash or a combination of cash and Shares. The RSUs will be settled only in Shares.</w:t>
      </w:r>
    </w:p>
    <w:p>
      <w:pPr>
        <w:pStyle w:val="TextBody"/>
        <w:bidi w:val="0"/>
        <w:spacing w:lineRule="auto" w:line="288" w:before="0" w:after="240"/>
        <w:jc w:val="both"/>
        <w:rPr/>
      </w:pPr>
      <w:r>
        <w:rPr>
          <w:rFonts w:ascii="Times New Roman;serif" w:hAnsi="Times New Roman;serif"/>
          <w:b/>
          <w:color w:val="000000"/>
          <w:sz w:val="22"/>
        </w:rPr>
        <w:t>Restriction on Sale of Shares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Participant agrees not to sell any Shares that are issued to Participant or Participant’s heirs prior to the six-month anniversary of the Grant Date.</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w:t>
      </w:r>
      <w:r>
        <w:rPr>
          <w:rFonts w:ascii="Times New Roman;serif" w:hAnsi="Times New Roman;serif"/>
          <w:b w:val="false"/>
          <w:i/>
          <w:color w:val="000000"/>
          <w:sz w:val="22"/>
        </w:rPr>
        <w:t>WARNING: The contents of this document have not been reviewed by any regulatory authority in Hong Kong. Participant is advised to exercise caution in relation to the grant. If Participant has any questions regarding the contents of this Agreement or the Plan, Participant should obtain independent professional advice. Neither the grant of the RSUs nor the issuance of Shares upon vesting of the RSUs constitutes a public offering of securities under Hong Kong law and is available only to eligible employees and other service providers of the Company, its Parent or Affiliates. This Agreement, the Plan and other incidental communication materials distributed in connection with the RSUs (i) have not been prepared in accordance with and are not intended to constitute a “prospectus” for a public offering of securities under the applicable securities legislation in Hong Kong and (ii), are intended only for the personal use of each eligible employee or other service provider of the Company, its Parent or Affiliates and may not be distributed to any other person.</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IRELAND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2"/>
        </w:rPr>
        <w:t>Director Notification Information</w:t>
      </w:r>
      <w:r>
        <w:rPr>
          <w:rFonts w:ascii="Times New Roman;serif" w:hAnsi="Times New Roman;serif"/>
          <w:b w:val="false"/>
          <w:color w:val="000000"/>
          <w:sz w:val="22"/>
        </w:rPr>
        <w:t>. If Participant is a director, shadow director or secretary of an Irish Affiliate and has a 1% or more shareholding interest in the Company, he or she must notify the Irish Affiliate in writing upon receiving or disposing of an interest in the Company (</w:t>
      </w:r>
      <w:r>
        <w:rPr>
          <w:rFonts w:ascii="Times New Roman;serif" w:hAnsi="Times New Roman;serif"/>
          <w:b w:val="false"/>
          <w:i/>
          <w:color w:val="000000"/>
          <w:sz w:val="22"/>
        </w:rPr>
        <w:t>e.g.</w:t>
      </w:r>
      <w:r>
        <w:rPr>
          <w:rFonts w:ascii="Times New Roman;serif" w:hAnsi="Times New Roman;serif"/>
          <w:b w:val="false"/>
          <w:color w:val="000000"/>
          <w:sz w:val="22"/>
        </w:rPr>
        <w:t>, RSUs, Shares) or upon becoming aware of the event giving rise to the notification requirement, or upon becoming a director, shadow director or secretary if such an interest exists at that time. This notification requirement also applies with respect to the interests of a spouse or minor child (whose interests will be attributed to the director, shadow director or secretary).</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ISRAEL</w:t>
      </w:r>
    </w:p>
    <w:p>
      <w:pPr>
        <w:pStyle w:val="TextBody"/>
        <w:bidi w:val="0"/>
        <w:spacing w:before="0" w:after="0"/>
        <w:jc w:val="center"/>
        <w:rPr/>
      </w:pPr>
      <w:r>
        <w:rPr/>
      </w:r>
    </w:p>
    <w:p>
      <w:pPr>
        <w:pStyle w:val="TextBody"/>
        <w:bidi w:val="0"/>
        <w:spacing w:lineRule="auto" w:line="288" w:before="0" w:after="100"/>
        <w:jc w:val="both"/>
        <w:rPr/>
      </w:pPr>
      <w:r>
        <w:rPr>
          <w:rFonts w:ascii="Times New Roman;serif" w:hAnsi="Times New Roman;serif"/>
          <w:b/>
          <w:color w:val="000000"/>
          <w:sz w:val="22"/>
        </w:rPr>
        <w:t>Israeli Sub-Plan</w:t>
      </w:r>
      <w:r>
        <w:rPr>
          <w:rFonts w:ascii="Times New Roman;serif" w:hAnsi="Times New Roman;serif"/>
          <w:b w:val="false"/>
          <w:color w:val="000000"/>
          <w:sz w:val="22"/>
        </w:rPr>
        <w:t>. The RSUs are also subject to the Sub-Plan for Israeli Participants (the "</w:t>
      </w:r>
      <w:r>
        <w:rPr>
          <w:rFonts w:ascii="Times New Roman;serif" w:hAnsi="Times New Roman;serif"/>
          <w:b w:val="false"/>
          <w:color w:val="000000"/>
          <w:sz w:val="22"/>
          <w:u w:val="single"/>
        </w:rPr>
        <w:t>Sub-Plan</w:t>
      </w:r>
      <w:r>
        <w:rPr>
          <w:rFonts w:ascii="Times New Roman;serif" w:hAnsi="Times New Roman;serif"/>
          <w:b w:val="false"/>
          <w:color w:val="000000"/>
          <w:sz w:val="22"/>
        </w:rPr>
        <w:t xml:space="preserve">"). The terms used herein shall have the meaning ascribed to them in the Plan and the Sub-Plan. In the event of any conflict, whether explicit or implied between the provisions of this Agreement and the Sub-Plan, the provisions set out in the Sub-Plan shall prevail. </w:t>
      </w:r>
    </w:p>
    <w:p>
      <w:pPr>
        <w:pStyle w:val="TextBody"/>
        <w:bidi w:val="0"/>
        <w:spacing w:lineRule="auto" w:line="288" w:before="100" w:after="100"/>
        <w:jc w:val="both"/>
        <w:rPr/>
      </w:pPr>
      <w:r>
        <w:rPr>
          <w:rFonts w:ascii="Times New Roman;serif" w:hAnsi="Times New Roman;serif"/>
          <w:b/>
          <w:color w:val="000000"/>
          <w:sz w:val="22"/>
        </w:rPr>
        <w:t>Designation</w:t>
      </w:r>
      <w:r>
        <w:rPr>
          <w:rFonts w:ascii="Times New Roman;serif" w:hAnsi="Times New Roman;serif"/>
          <w:b w:val="false"/>
          <w:color w:val="000000"/>
          <w:sz w:val="22"/>
        </w:rPr>
        <w:t>. The RSUs are intended to be subject to the Capital Gains Route under Section 102 of the Israeli Income Tax Ordinance [New Version] - 1961 (the “</w:t>
      </w:r>
      <w:r>
        <w:rPr>
          <w:rFonts w:ascii="Times New Roman;serif" w:hAnsi="Times New Roman;serif"/>
          <w:b w:val="false"/>
          <w:color w:val="000000"/>
          <w:sz w:val="22"/>
          <w:u w:val="single"/>
        </w:rPr>
        <w:t>Ordinance</w:t>
      </w:r>
      <w:r>
        <w:rPr>
          <w:color w:val="000000"/>
        </w:rPr>
        <w:t xml:space="preserve">” </w:t>
      </w:r>
      <w:r>
        <w:rPr>
          <w:rFonts w:ascii="Times New Roman;serif" w:hAnsi="Times New Roman;serif"/>
          <w:b w:val="false"/>
          <w:color w:val="000000"/>
          <w:sz w:val="22"/>
        </w:rPr>
        <w:t>and the "</w:t>
      </w:r>
      <w:r>
        <w:rPr>
          <w:rFonts w:ascii="Times New Roman;serif" w:hAnsi="Times New Roman;serif"/>
          <w:b w:val="false"/>
          <w:color w:val="000000"/>
          <w:sz w:val="22"/>
          <w:u w:val="single"/>
        </w:rPr>
        <w:t>Capital Gains Route</w:t>
      </w:r>
      <w:r>
        <w:rPr>
          <w:rFonts w:ascii="Times New Roman;serif" w:hAnsi="Times New Roman;serif"/>
          <w:b w:val="false"/>
          <w:color w:val="000000"/>
          <w:sz w:val="22"/>
        </w:rPr>
        <w:t xml:space="preserve">"), subject to compliance with the requirements under Section 102 of the Ordinance and any rules or regulations thereunder, including the execution of this Agreement and the acknowledgments included below. However, in the event the RSUs do not meet the requirements of Section 102 of the Ordinance, such RSUs and the underlying Shares shall not qualify for the favorable tax treatment under the Capital Gains Route. </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The Company makes no representations or guarantees that the RSUs will qualify for favorable tax treatment and will not be liable or responsible if favorable tax treatment is not available under Section 102 of the Ordinance.</w:t>
      </w:r>
    </w:p>
    <w:p>
      <w:pPr>
        <w:pStyle w:val="TextBody"/>
        <w:bidi w:val="0"/>
        <w:spacing w:lineRule="auto" w:line="288" w:before="100" w:after="100"/>
        <w:jc w:val="both"/>
        <w:rPr/>
      </w:pPr>
      <w:r>
        <w:rPr>
          <w:rFonts w:ascii="Times New Roman;serif" w:hAnsi="Times New Roman;serif"/>
          <w:b/>
          <w:color w:val="000000"/>
          <w:sz w:val="22"/>
        </w:rPr>
        <w:t>The Trustee</w:t>
      </w:r>
      <w:r>
        <w:rPr>
          <w:rFonts w:ascii="Times New Roman;serif" w:hAnsi="Times New Roman;serif"/>
          <w:b w:val="false"/>
          <w:color w:val="000000"/>
          <w:sz w:val="22"/>
        </w:rPr>
        <w:t>. The RSUs and the Shares issued upon settlement of such RSUs and/or any additional rights, including without limitation any right to receive any dividends or any shares received as a result of an adjustment made under the Plan, that may be granted in connection with the RSUs (the “</w:t>
      </w:r>
      <w:r>
        <w:rPr>
          <w:rFonts w:ascii="Times New Roman;serif" w:hAnsi="Times New Roman;serif"/>
          <w:b w:val="false"/>
          <w:color w:val="000000"/>
          <w:sz w:val="22"/>
          <w:u w:val="single"/>
        </w:rPr>
        <w:t>Additional Rights</w:t>
      </w:r>
      <w:r>
        <w:rPr>
          <w:color w:val="000000"/>
        </w:rPr>
        <w:t>”</w:t>
      </w:r>
      <w:r>
        <w:rPr>
          <w:rFonts w:ascii="Times New Roman;serif" w:hAnsi="Times New Roman;serif"/>
          <w:b w:val="false"/>
          <w:color w:val="000000"/>
          <w:sz w:val="22"/>
        </w:rPr>
        <w:t>) shall be issued to or controlled by the Trustee for the benefit of the Participant under the provisions of the Capital Gains Route for at least the period stated in Section 102 of the Ordinance and the Income Tax Rules (Tax Benefits in Share Issuance to Employees) 5763-2003 (the “</w:t>
      </w:r>
      <w:r>
        <w:rPr>
          <w:rFonts w:ascii="Times New Roman;serif" w:hAnsi="Times New Roman;serif"/>
          <w:b w:val="false"/>
          <w:color w:val="000000"/>
          <w:sz w:val="22"/>
          <w:u w:val="single"/>
        </w:rPr>
        <w:t>Rules</w:t>
      </w:r>
      <w:r>
        <w:rPr>
          <w:color w:val="000000"/>
        </w:rPr>
        <w:t>”</w:t>
      </w:r>
      <w:r>
        <w:rPr>
          <w:rFonts w:ascii="Times New Roman;serif" w:hAnsi="Times New Roman;serif"/>
          <w:b w:val="false"/>
          <w:color w:val="000000"/>
          <w:sz w:val="22"/>
        </w:rPr>
        <w:t xml:space="preserve">). In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pPr>
      <w:r>
        <w:rPr>
          <w:rFonts w:ascii="Times New Roman;serif" w:hAnsi="Times New Roman;serif"/>
          <w:b w:val="false"/>
          <w:color w:val="000000"/>
          <w:sz w:val="22"/>
        </w:rPr>
        <w:t>accordance with the requirements of Section 102 of the Ordinance and the Capital Gains Route, the Participant shall not sell nor transfer from the Trustee the Shares or Additional Rights until the end of the required the period of time required under Section 102 of the Ordinance or any shorter period of time determined by the Israeli The Authority (the “</w:t>
      </w:r>
      <w:r>
        <w:rPr>
          <w:rFonts w:ascii="Times New Roman;serif" w:hAnsi="Times New Roman;serif"/>
          <w:b w:val="false"/>
          <w:color w:val="000000"/>
          <w:sz w:val="22"/>
          <w:u w:val="single"/>
        </w:rPr>
        <w:t>Holding Period</w:t>
      </w:r>
      <w:r>
        <w:rPr>
          <w:color w:val="000000"/>
        </w:rPr>
        <w:t>”</w:t>
      </w:r>
      <w:r>
        <w:rPr>
          <w:rFonts w:ascii="Times New Roman;serif" w:hAnsi="Times New Roman;serif"/>
          <w:b w:val="false"/>
          <w:color w:val="000000"/>
          <w:sz w:val="22"/>
        </w:rPr>
        <w:t>). Notwithstanding the above, if any such sale or transfer occurs before the end of the required Holding Period, the sanctions under Section 102 of the Ordinance shall apply to and shall be borne by the Participant.</w: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Any fees associated with any vesting, sale, transfer or any act in relation to the RSUs shall be borne by the Participant and the Trustee and/or the Company and/or any Subsidiary shall be entitled to withhold or deduct such fees from payments otherwise due to/from the Company or a Subsidiary or the Trustee.</w:t>
      </w:r>
    </w:p>
    <w:p>
      <w:pPr>
        <w:pStyle w:val="TextBody"/>
        <w:bidi w:val="0"/>
        <w:spacing w:lineRule="auto" w:line="288" w:before="100" w:after="100"/>
        <w:jc w:val="both"/>
        <w:rPr/>
      </w:pPr>
      <w:r>
        <w:rPr>
          <w:rFonts w:ascii="Times New Roman;serif" w:hAnsi="Times New Roman;serif"/>
          <w:b/>
          <w:color w:val="000000"/>
          <w:sz w:val="22"/>
        </w:rPr>
        <w:t>Taxes</w:t>
      </w:r>
      <w:r>
        <w:rPr>
          <w:rFonts w:ascii="Times New Roman;serif" w:hAnsi="Times New Roman;serif"/>
          <w:b w:val="false"/>
          <w:color w:val="000000"/>
          <w:sz w:val="22"/>
        </w:rPr>
        <w:t xml:space="preserve">. Any and all taxes due in relation to the RSUs and the underlying Shares, including, but not limited to, the grant of the RSUs and/or the vesting, transfer, waiver, or expiration of RSUs and/or underlying Shares, and/or the sale of underlying Shares, shall be borne solely by the Participant, and in the event of death, by the Participant’s heirs. The Company, any Subsidiary, the Trustee or anyone on their behalf shall not be required to bear the aforementioned tax, directly or indirectly, nor shall they be required to gross up such tax in the Participant’s salary or remuneration. The Company and/or any Subsidiary and/or the Trustee shall withhold taxes according to the requirements under the applicable laws, rules, and regulations, including withholding taxes at source. Furthermore, the Participant hereby agree to indemnify the Company and/or any Subsidiary and/or the Trustee and hold them harmless against and from any and all liability for any such tax or interest or penalty thereon, including without limitation, liabilities relating to the necessity to withhold, or to have withheld, any such tax from any payment made to him. The Company and/or any Subsidiary and/or the Trustee, to the extent permitted by law, shall have the right to deduct from any payment otherwise due to the Participant or from proceeds of the sale of the Shares an amount equal to any Taxes required by law to be withheld with respect to the Shares. The Participant will pay to the Company, any subsidiary or the Trustee any amount of taxes that the Company or any Subsidiary or the Trustee may be required to withhold with respect to the Shares that cannot be satisfied by the means previously described. The Company may refuse to deliver the Shares if the Participant fail to comply with his obligations in connection with the taxes as described in this section. </w:t>
      </w:r>
    </w:p>
    <w:p>
      <w:pPr>
        <w:pStyle w:val="TextBody"/>
        <w:bidi w:val="0"/>
        <w:spacing w:lineRule="auto" w:line="288" w:before="100" w:after="100"/>
        <w:jc w:val="both"/>
        <w:rPr/>
      </w:pPr>
      <w:r>
        <w:rPr>
          <w:rFonts w:ascii="Times New Roman;serif" w:hAnsi="Times New Roman;serif"/>
          <w:b/>
          <w:color w:val="000000"/>
          <w:sz w:val="22"/>
        </w:rPr>
        <w:t>Additional Covenants and Undertakings</w:t>
      </w:r>
      <w:r>
        <w:rPr>
          <w:rFonts w:ascii="Times New Roman;serif" w:hAnsi="Times New Roman;serif"/>
          <w:b w:val="false"/>
          <w:color w:val="000000"/>
          <w:sz w:val="22"/>
        </w:rPr>
        <w:t>. The Participant must sign a consent letter, which will be provided to the Participant separately, confirming that: (i) The Participant is familiar with and understands the provisions of Section 102 of the Ordinance and any associated rules or regulations in general, and the tax arrangement under the Capital Gains Route in particular, and agrees to comply with such provisions, as amended from time to time; (ii) The Participant agrees that the RSUs and the Shares that may be issued in connection with the RSUs will be held or controlled by a trustee for at least the duration of the Holding Period, as determined in Section 102 of the Ordinance under the Capital Gains Route</w:t>
      </w:r>
      <w:r>
        <w:rPr>
          <w:rFonts w:ascii="Times New Roman;serif" w:hAnsi="Times New Roman;serif"/>
          <w:b/>
          <w:color w:val="000000"/>
          <w:sz w:val="22"/>
        </w:rPr>
        <w:t xml:space="preserve">; </w:t>
      </w:r>
      <w:r>
        <w:rPr>
          <w:rFonts w:ascii="Times New Roman;serif" w:hAnsi="Times New Roman;serif"/>
          <w:b w:val="false"/>
          <w:color w:val="000000"/>
          <w:sz w:val="22"/>
        </w:rPr>
        <w:t>(iii)</w:t>
      </w:r>
      <w:r>
        <w:rPr>
          <w:color w:val="000000"/>
        </w:rPr>
        <w:t xml:space="preserve"> </w:t>
      </w:r>
      <w:r>
        <w:rPr>
          <w:rFonts w:ascii="Times New Roman;serif" w:hAnsi="Times New Roman;serif"/>
          <w:b w:val="false"/>
          <w:color w:val="000000"/>
          <w:sz w:val="22"/>
        </w:rPr>
        <w:t>The Participant agrees to the provisions of the trust deed signed between the Company and/or the Subsidiary and the Trustee attached hereto</w:t>
      </w:r>
      <w:r>
        <w:rPr>
          <w:rFonts w:ascii="Times New Roman;serif" w:hAnsi="Times New Roman;serif"/>
          <w:b/>
          <w:color w:val="000000"/>
          <w:sz w:val="22"/>
          <w:u w:val="single"/>
        </w:rPr>
        <w:t xml:space="preserve">; </w:t>
      </w:r>
      <w:r>
        <w:rPr>
          <w:rFonts w:ascii="Times New Roman;serif" w:hAnsi="Times New Roman;serif"/>
          <w:b w:val="false"/>
          <w:color w:val="000000"/>
          <w:sz w:val="22"/>
          <w:u w:val="single"/>
        </w:rPr>
        <w:t>(iv)</w:t>
      </w:r>
      <w:r>
        <w:rPr>
          <w:color w:val="000000"/>
          <w:u w:val="single"/>
        </w:rPr>
        <w:t xml:space="preserve"> </w:t>
      </w:r>
      <w:r>
        <w:rPr>
          <w:rFonts w:ascii="Times New Roman;serif" w:hAnsi="Times New Roman;serif"/>
          <w:b w:val="false"/>
          <w:color w:val="000000"/>
          <w:sz w:val="22"/>
          <w:u w:val="single"/>
        </w:rPr>
        <w:t>The Participant</w:t>
      </w:r>
      <w:r>
        <w:rPr>
          <w:color w:val="000000"/>
          <w:u w:val="single"/>
        </w:rPr>
        <w:t xml:space="preserve"> </w:t>
      </w:r>
      <w:r>
        <w:rPr>
          <w:rFonts w:ascii="Times New Roman;serif" w:hAnsi="Times New Roman;serif"/>
          <w:b w:val="false"/>
          <w:color w:val="000000"/>
          <w:sz w:val="22"/>
        </w:rPr>
        <w:t>acknowledges that releasing of the Shares from trust, or any sale of the Shares prior to the termination of the Holding Period constitutes a violation of the terms of Section 102 of the Ordinance and agree to bear the relevant sanctions; (v)</w:t>
      </w:r>
      <w:r>
        <w:rPr>
          <w:color w:val="000000"/>
          <w:u w:val="single"/>
        </w:rPr>
        <w:t xml:space="preserve"> </w:t>
      </w:r>
      <w:r>
        <w:rPr>
          <w:rFonts w:ascii="Times New Roman;serif" w:hAnsi="Times New Roman;serif"/>
          <w:b w:val="false"/>
          <w:color w:val="000000"/>
          <w:sz w:val="22"/>
        </w:rPr>
        <w:t xml:space="preserve">The Participant authorizes the Company and/or his/her employer to provide the Trustee with any information required for the purpose of administrating the grant of the RSUs, including without limitation information about his/her RSUs, income tax rates, salary bank account, contact details and identification number and any reasonable information required by the Trustee; (vi) The Participant declares that he/she is a resident of the state of Israel for tax purposes and agree to notify the Company upon any change in the residence address and acknowledge that if he/she ceases to be an Israeli resident or if his/her engagement with the Company or any Subsidiary is terminated, the RSUs and underlying Shares shall remain subject to Section 102 of the Ordinance, the trust agreement, the Plan and grant documents; (vii) The Participant acknowledges, understands and agrees that the RSUs are an extraordinary, one-time benefit granted to the Participant, and does not create any contractual or other right to receive a future grant of RSUs.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2"/>
        </w:rPr>
        <w:t>Security Exemption</w:t>
      </w:r>
      <w:r>
        <w:rPr>
          <w:rFonts w:ascii="Times New Roman;serif" w:hAnsi="Times New Roman;serif"/>
          <w:b w:val="false"/>
          <w:color w:val="000000"/>
          <w:sz w:val="22"/>
        </w:rPr>
        <w:t>. The Company has obtained an exemption from the requirement to file a prospectus in Israel in respect to the offer of the RSUs. Copies of the Plan and Form S-8 registration statement for the Plan filed with the U.S. Securities and Exchange Commission are available, free of charge, upon request from the local human resources department.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ITALY</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xml:space="preserve">. By accepting the RSUs, Participant acknowledges that he or she has received a copy of the Plan, the Grant Notice, the Agreement (including this Appendix) and has reviewed the Plan and the Agreement (including this Appendix) in their entirety and fully accepts all provisions thereof. Participant further acknowledges that he or she has read and specifically and expressly approves the Grant Notice and the following provisions of the Agreement: (i) Section 2.1: Award of RSUs; (ii) Section 2.2: Vesting of RSUs; (iii) Section 2.3: Distribution or Payment of RSUs; (iv) Section 2.4: Restrictions on Issuance / Compliance with Law; (v) Section 2.5: Tax Withholding; (vi) Section 2.6: Nature of Grant; (vii) Section 2.7: Rights as Stockholder; (viii) Section 3.2: RSUs Not Transferable; (ix) Section 3.7: Data Privacy Information and Consent; (x) Section 3.8: Governing Law/Venue; (xi) Section 3.10: Amendment, Suspension and Termination; (xii) Section 3.17: Electronic Delivery and Acceptance; (xiii) Section 3.18: Agreement Severable; (xiv) Section 3.20: Imposition of Other Requirements; (xv) Section 3.21: Insider Trading Restrictions/Market Abuse Laws; and (xvi) Section 3.26: Waiver. </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JAPAN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KOREA</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MALAYSIA</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Director Notification Obligation.</w:t>
      </w:r>
      <w:r>
        <w:rPr>
          <w:color w:val="000000"/>
        </w:rPr>
        <w:t xml:space="preserve"> </w:t>
      </w:r>
      <w:r>
        <w:rPr>
          <w:rFonts w:ascii="Times New Roman;serif" w:hAnsi="Times New Roman;serif"/>
          <w:b w:val="false"/>
          <w:color w:val="000000"/>
          <w:sz w:val="22"/>
        </w:rPr>
        <w:t>If you are a director of an Affiliate in Malaysia, you are subject to certain notification requirements under the Malaysian Companies Act. Among these requirements is an obligation to notify such Malaysian Affiliate in writing when you receive or dispose of an interest in the Company or any related company. Such notifications must be made within fourteen (14) days of receiving or disposing of any interest in the Company or any related company.</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MEXICO</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0"/>
        <w:jc w:val="both"/>
        <w:rPr/>
      </w:pPr>
      <w:r>
        <w:rPr>
          <w:rFonts w:ascii="Times New Roman;serif" w:hAnsi="Times New Roman;serif"/>
          <w:b/>
          <w:color w:val="000000"/>
          <w:sz w:val="22"/>
        </w:rPr>
        <w:t>No Entitlement for Claims or Compensation</w:t>
      </w:r>
      <w:r>
        <w:rPr>
          <w:rFonts w:ascii="Times New Roman;serif" w:hAnsi="Times New Roman;serif"/>
          <w:b w:val="false"/>
          <w:color w:val="000000"/>
          <w:sz w:val="22"/>
        </w:rPr>
        <w:t>. The following section supplements Section 2.6 of the Agreement:</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2"/>
        </w:rPr>
        <w:t>Modification</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By accepting the Award, Participant understands and agrees that any modification of the Plan or the Agreement or its termination shall not constitute a change or impairment of the terms and conditions of employment.</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Policy Statement</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The Award the Company is making under the Plan is unilateral and discretionary and, therefore, the Company reserves the absolute right to amend it and discontinue it at any time without any liability.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with registered offices at 1020 Kifer Road, Sunnyvale, CA 94086, is solely responsible for the administration of the Plan, and participation in the Plan and the grant of the Award do not, in any way, establish an employment relationship between Participant and the Company since Participant is participating in the Plan on a wholly commercial basis and the sole employer is a Mexican or other Affiliate, nor does it establish any rights between Participant and the Employer.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Plan Document Acknowledgment</w:t>
      </w:r>
      <w:r>
        <w:rPr>
          <w:rFonts w:ascii="Times New Roman;serif" w:hAnsi="Times New Roman;serif"/>
          <w:b w:val="false"/>
          <w:color w:val="000000"/>
          <w:sz w:val="22"/>
        </w:rPr>
        <w:t xml:space="preserve">. By accepting the Award, Participant acknowledges that he or she has received copies of the Plan, has reviewed the Plan, Grant Notice and the Agreement in their entirety, and fully understand and accept all provisions of the Plan, Grant Notice and the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Participant further acknowledges that he or she has read and specifically and expressly approves the terms and conditions in Section 2.6 of the Agreement, in which the following is clearly described and established: (i) participation in the Plan does not constitute an acquired right; (ii) the Plan and participation in the Plan is offered by the Company on a wholly discretionary basis; and (iii) participation in the Plan is voluntary.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Finally, Participant hereby declares that he or she does not reserve any action or right to bring any claim against the Company for any compensation or damages as a result of his or her participation in the Plan and therefore grant a full and broad release to the Employer, the Company and any Affiliate with respect to any claim that may arise under the Plan or the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 xml:space="preserve">Spanish Translation </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i/>
          <w:color w:val="000000"/>
          <w:sz w:val="22"/>
        </w:rPr>
        <w:t xml:space="preserve">Ausencia de derechos de reclamación o compensación: </w:t>
      </w:r>
      <w:r>
        <w:rPr>
          <w:rFonts w:ascii="Times New Roman;serif" w:hAnsi="Times New Roman;serif"/>
          <w:b w:val="false"/>
          <w:i/>
          <w:color w:val="000000"/>
          <w:sz w:val="22"/>
        </w:rPr>
        <w:t>Estas especificaciones complementan la Sección 2.6 del Contrato.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2"/>
        </w:rPr>
        <w:t xml:space="preserve">Moficaciones: </w:t>
      </w:r>
      <w:r>
        <w:rPr>
          <w:rFonts w:ascii="Times New Roman;serif" w:hAnsi="Times New Roman;serif"/>
          <w:b w:val="false"/>
          <w:i/>
          <w:color w:val="000000"/>
          <w:sz w:val="22"/>
        </w:rPr>
        <w:t>Al aceptar el Premio, el Participante reconoce y acepta que cualquier modificación al Plan o al Convenio o la terminación del mismo no significará una modifiación o detrimento en los términos y condiciones de su relación de trabajo.</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i/>
          <w:color w:val="000000"/>
          <w:sz w:val="22"/>
        </w:rPr>
        <w:t>Establecimiento de la Política.</w:t>
      </w:r>
      <w:r>
        <w:rPr>
          <w:color w:val="000000"/>
        </w:rPr>
        <w:t xml:space="preserve"> </w:t>
      </w:r>
      <w:r>
        <w:rPr>
          <w:rFonts w:ascii="Times New Roman;serif" w:hAnsi="Times New Roman;serif"/>
          <w:b w:val="false"/>
          <w:i/>
          <w:color w:val="000000"/>
          <w:sz w:val="22"/>
        </w:rPr>
        <w:t>El Premio que la Empresa está haciendo por medio del Plan es unilateral y discesional, por tal motivo, la Empresa se reserva el derecho de modificarlo o cancelarlo sin responsabilidad alguna hacia Usted.</w:t>
      </w:r>
    </w:p>
    <w:p>
      <w:pPr>
        <w:pStyle w:val="TextBody"/>
        <w:bidi w:val="0"/>
        <w:spacing w:lineRule="auto" w:line="288" w:before="0" w:after="240"/>
        <w:jc w:val="both"/>
        <w:rPr/>
      </w:pPr>
      <w:r>
        <w:rPr>
          <w:rFonts w:ascii="Times New Roman;serif" w:hAnsi="Times New Roman;serif"/>
          <w:b w:val="false"/>
          <w:i/>
          <w:color w:val="000000"/>
          <w:sz w:val="22"/>
        </w:rPr>
        <w:t>La Empresa, con domicilio registrado en 1020</w:t>
      </w:r>
      <w:r>
        <w:rPr>
          <w:color w:val="000000"/>
        </w:rPr>
        <w:t xml:space="preserve"> </w:t>
      </w:r>
      <w:r>
        <w:rPr>
          <w:rFonts w:ascii="Times New Roman;serif" w:hAnsi="Times New Roman;serif"/>
          <w:b w:val="false"/>
          <w:i/>
          <w:color w:val="000000"/>
          <w:sz w:val="22"/>
        </w:rPr>
        <w:t>Kifer Road, Sunnyvale, Ca, 94086, es la única responsable para la administración de Plan y que su participación en los Plan y adquisición de acciones no constituye una relación de trabajo entre la Empresa y el Participante, toda vez que su participación en el Plan es totalmente en base a una relación comercial y que el patrón del Participante es una sociedad Mexicana, afiliada o no a la Empresa. El Plan no establece derechos entre el Participante y su patrón.</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i/>
          <w:color w:val="000000"/>
          <w:sz w:val="22"/>
        </w:rPr>
        <w:t xml:space="preserve">Reconicimiento de los Términos y Condiciones. </w:t>
      </w:r>
      <w:r>
        <w:rPr>
          <w:rFonts w:ascii="Times New Roman;serif" w:hAnsi="Times New Roman;serif"/>
          <w:b w:val="false"/>
          <w:i/>
          <w:color w:val="000000"/>
          <w:sz w:val="22"/>
        </w:rPr>
        <w:t>Al aceptar el Premio, el Participante reconoce que ha recibido una copia del Plan, que ha revisado el Plan y la Notificación de la Entrega y el Convenio completos y reconoce y aepta todas y cada una de las condicioines del Plan, el Aviso de Entrega y el Convenio.</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Aunado a lo anterior, el Participante reconoce que ha leído y específicamente aprueba los términos y condiciones descritas en el punto 2.6 del Convenio, el cual establece que (i) La participación en el Plan no constituye un derecho adquirido, (ii) El plan y la participación en dicho Plan son ofrecidos por la Empresa en forma totalmente discrecional; y, que (iii) la participación es voluntaria.</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Por último, el Participante declara que no se reserva acción legal ni derecho alguno qué hacer valer en contra de la Empresa por ninguna compensación o daño derivado de su participación en el Plan; y por tal motivo en este acto otorga a favor de su patrón, la Empresa y cualquier empresa relacionada, el más amplio finiquito que en derecho corresponda en virtud de cualquier reclamación que pudiera surgir con motivo del Plan o el Convenio.</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NETHERLANDS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NORWAY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No country-specific provisions apply.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PORTUGAL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2"/>
        </w:rPr>
        <w:t>Language Consent.</w:t>
      </w:r>
      <w:r>
        <w:rPr>
          <w:color w:val="000000"/>
        </w:rPr>
        <w:t xml:space="preserve"> </w:t>
      </w:r>
      <w:r>
        <w:rPr>
          <w:rFonts w:ascii="Times New Roman;serif" w:hAnsi="Times New Roman;serif"/>
          <w:b w:val="false"/>
          <w:color w:val="000000"/>
          <w:sz w:val="22"/>
        </w:rPr>
        <w:t>Participant hereby expressly declares that he or she has full knowledge of the English language and has read, understood and freely accepted and agreed with the terms and conditions established in the Plan and the Agreement.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2"/>
        </w:rPr>
        <w:t>Conhecimento da Língua.</w:t>
      </w:r>
      <w:r>
        <w:rPr>
          <w:color w:val="000000"/>
        </w:rPr>
        <w:t xml:space="preserve">  </w:t>
      </w:r>
      <w:r>
        <w:rPr>
          <w:rFonts w:ascii="Times New Roman;serif" w:hAnsi="Times New Roman;serif"/>
          <w:b w:val="false"/>
          <w:i/>
          <w:color w:val="000000"/>
          <w:sz w:val="22"/>
        </w:rPr>
        <w:t>Pela presente, o Participante declara expressamente que tem pleno conhecimento da língua inglesa e que leu, compreendeu e livremente aceitou e concordou com os termos e condições estabelecidas no Plano e no Acordo de Atribuição (Award Agreement em inglés).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SINGAPORE</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Restriction on Sale and Transferability</w:t>
      </w:r>
      <w:r>
        <w:rPr>
          <w:rFonts w:ascii="Times New Roman;serif" w:hAnsi="Times New Roman;serif"/>
          <w:b w:val="false"/>
          <w:color w:val="000000"/>
          <w:sz w:val="22"/>
        </w:rPr>
        <w:t>. Participant hereby agrees that any Shares acquired under the Plan will not be offered for sale in Singapore prior to the six-month anniversary of the Grant Date, unless such sale or offer is made pursuant to one or more exemptions under Part XIII Division (1) Subdivision (4) (other than section 280) of the Securities and Futures Act (Chapter 289, 2006 Ed.) (the “</w:t>
      </w:r>
      <w:r>
        <w:rPr>
          <w:rFonts w:ascii="Times New Roman;serif" w:hAnsi="Times New Roman;serif"/>
          <w:b w:val="false"/>
          <w:color w:val="000000"/>
          <w:sz w:val="22"/>
          <w:u w:val="single"/>
        </w:rPr>
        <w:t>SFA</w:t>
      </w:r>
      <w:r>
        <w:rPr>
          <w:color w:val="000000"/>
        </w:rPr>
        <w:t>”</w:t>
      </w:r>
      <w:r>
        <w:rPr>
          <w:rFonts w:ascii="Times New Roman;serif" w:hAnsi="Times New Roman;serif"/>
          <w:b w:val="false"/>
          <w:color w:val="000000"/>
          <w:sz w:val="22"/>
        </w:rPr>
        <w:t>).</w:t>
      </w:r>
    </w:p>
    <w:p>
      <w:pPr>
        <w:pStyle w:val="TextBody"/>
        <w:bidi w:val="0"/>
        <w:spacing w:lineRule="auto" w:line="288" w:before="100" w:after="10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The grant of RSUs under the Plan is being made pursuant to the “Qualifying Person” exemption under section 273(1)(f) of the SFA, on which basis it is exempt from the prospectus and registration requirements and is not made with a view to the underlying Shares being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subsequently offered for sale to any other party. The Plan has not been lodged or registered as a prospectus with the Monetary Authority of Singapore.</w:t>
      </w:r>
    </w:p>
    <w:p>
      <w:pPr>
        <w:pStyle w:val="TextBody"/>
        <w:bidi w:val="0"/>
        <w:spacing w:lineRule="auto" w:line="288" w:before="0" w:after="240"/>
        <w:jc w:val="both"/>
        <w:rPr/>
      </w:pPr>
      <w:r>
        <w:rPr>
          <w:rFonts w:ascii="Times New Roman;serif" w:hAnsi="Times New Roman;serif"/>
          <w:b/>
          <w:color w:val="000000"/>
          <w:sz w:val="22"/>
        </w:rPr>
        <w:t>Director Notification Requirement</w:t>
      </w:r>
      <w:r>
        <w:rPr>
          <w:rFonts w:ascii="Times New Roman;serif" w:hAnsi="Times New Roman;serif"/>
          <w:b w:val="false"/>
          <w:color w:val="000000"/>
          <w:sz w:val="22"/>
        </w:rPr>
        <w:t>. If Participant is a director (including an alternate, substitute or shadow director) of a Singapore Affiliate, Participant must notify the Singapore Affiliate in writing of an interest (</w:t>
      </w:r>
      <w:r>
        <w:rPr>
          <w:rFonts w:ascii="Times New Roman;serif" w:hAnsi="Times New Roman;serif"/>
          <w:b w:val="false"/>
          <w:i/>
          <w:color w:val="000000"/>
          <w:sz w:val="22"/>
        </w:rPr>
        <w:t>e.g.</w:t>
      </w:r>
      <w:r>
        <w:rPr>
          <w:rFonts w:ascii="Times New Roman;serif" w:hAnsi="Times New Roman;serif"/>
          <w:b w:val="false"/>
          <w:color w:val="000000"/>
          <w:sz w:val="22"/>
        </w:rPr>
        <w:t>, RSUs, Shares, etc.) in the Company or any Affiliate within two business days of (i) acquiring or disposing of such interest, (ii) any change in a previously disclosed interest (</w:t>
      </w:r>
      <w:r>
        <w:rPr>
          <w:rFonts w:ascii="Times New Roman;serif" w:hAnsi="Times New Roman;serif"/>
          <w:b w:val="false"/>
          <w:i/>
          <w:color w:val="000000"/>
          <w:sz w:val="22"/>
        </w:rPr>
        <w:t>e.g.</w:t>
      </w:r>
      <w:r>
        <w:rPr>
          <w:rFonts w:ascii="Times New Roman;serif" w:hAnsi="Times New Roman;serif"/>
          <w:b w:val="false"/>
          <w:color w:val="000000"/>
          <w:sz w:val="22"/>
        </w:rPr>
        <w:t>, sale of Shares), or (iii) becoming a director.</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SPAIN</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Nature of Grant</w:t>
      </w:r>
      <w:r>
        <w:rPr>
          <w:rFonts w:ascii="Times New Roman;serif" w:hAnsi="Times New Roman;serif"/>
          <w:b w:val="false"/>
          <w:color w:val="000000"/>
          <w:sz w:val="22"/>
        </w:rPr>
        <w:t>. This provision supplements Section 2.6 of the Agreement:</w:t>
      </w:r>
    </w:p>
    <w:p>
      <w:pPr>
        <w:pStyle w:val="TextBody"/>
        <w:bidi w:val="0"/>
        <w:spacing w:lineRule="auto" w:line="288" w:before="100" w:after="100"/>
        <w:jc w:val="both"/>
        <w:rPr/>
      </w:pPr>
      <w:r>
        <w:rPr>
          <w:rFonts w:ascii="Times New Roman;serif" w:hAnsi="Times New Roman;serif"/>
          <w:b w:val="false"/>
          <w:color w:val="000000"/>
          <w:sz w:val="22"/>
        </w:rPr>
        <w:t>By accepting the RSUs, Participant consents to participation in the Plan and acknowledges that he or she has received a copy of the Plan. Participant understands that the Company has unilaterally, gratuitously and discretionally decided to grant RSUs under the Plan to individuals who may be employees of the Company or of a Parent or Affiliate throughout the world. This decision is a limited decision that is entered into upon the express assumption and condition that any grant will not bind the Company or any Parent or Affiliate other than as expressly set forth in the Agreement. Consequently, Participant understands that the RSUs are granted on the assumption and condition that the RSUs and any Shares acquired under the Plan are not part of any employment or service contract (either with the Company or with any Parent or Affiliate) and shall not be considered a mandatory benefit or salary for any purpose (including severance compensation) or any other right whatsoever. Further, Participant understands and agrees that, unless otherwise expressly provided for by the Company or set forth in the Plan or the Agreement, the RSUs will be cancelled without entitlement to any Shares underlying the RSUs if Participant incurs a Termination of Service, for any reason, including, but not limited to: resignation, retirement, disciplinary dismissal adjudged to be with cause, disciplinary dismissal adjudged or recognized to be without good cause (</w:t>
      </w:r>
      <w:r>
        <w:rPr>
          <w:rFonts w:ascii="Times New Roman;serif" w:hAnsi="Times New Roman;serif"/>
          <w:b w:val="false"/>
          <w:i/>
          <w:color w:val="000000"/>
          <w:sz w:val="22"/>
        </w:rPr>
        <w:t>i.e.,</w:t>
      </w:r>
      <w:r>
        <w:rPr>
          <w:color w:val="000000"/>
        </w:rPr>
        <w:t xml:space="preserve"> </w:t>
      </w:r>
      <w:r>
        <w:rPr>
          <w:rFonts w:ascii="Times New Roman;serif" w:hAnsi="Times New Roman;serif"/>
          <w:b w:val="false"/>
          <w:color w:val="000000"/>
          <w:sz w:val="22"/>
        </w:rPr>
        <w:t>subject to a “</w:t>
      </w:r>
      <w:r>
        <w:rPr>
          <w:rFonts w:ascii="Times New Roman;serif" w:hAnsi="Times New Roman;serif"/>
          <w:b w:val="false"/>
          <w:i/>
          <w:color w:val="000000"/>
          <w:sz w:val="22"/>
        </w:rPr>
        <w:t>despido improcedente</w:t>
      </w:r>
      <w:r>
        <w:rPr>
          <w:color w:val="000000"/>
        </w:rPr>
        <w:t>”</w:t>
      </w:r>
      <w:r>
        <w:rPr>
          <w:rFonts w:ascii="Times New Roman;serif" w:hAnsi="Times New Roman;serif"/>
          <w:b w:val="false"/>
          <w:color w:val="000000"/>
          <w:sz w:val="22"/>
        </w:rPr>
        <w:t>), material modification of the terms of employment under Article 41 of the Workers’ Statute, relocation under Article 40 of the Workers’ Statute, Article 50 of the Workers’ Statute, or under Article 10.3 of Royal Decree 1382/1985.</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addition, Participant understands that this grant would not be made to Participant but for the assumptions and conditions referred to above; thus, Participant acknowledges and freely accepts that, should any or all of the assumptions be mistaken or should any of the conditions not be met for any reason, then any grant of, or right to, the RSUs shall be null and void.</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lineRule="auto" w:line="288" w:before="0" w:after="24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xml:space="preserve">. The grant of RSUs described in the Agreement does not qualify under Spanish regulations as a security. No “offer of securities to the public,” as defined under Spanish law, has taken place or will take place in the Spanish territory in connection with the grant of the RSUs. The Agreement has not been, nor will it be, registered with the </w:t>
      </w:r>
      <w:r>
        <w:rPr>
          <w:rFonts w:ascii="Times New Roman;serif" w:hAnsi="Times New Roman;serif"/>
          <w:b w:val="false"/>
          <w:i/>
          <w:color w:val="000000"/>
          <w:sz w:val="22"/>
        </w:rPr>
        <w:t>Comisión Nacional del Mercado de Valores</w:t>
      </w:r>
      <w:r>
        <w:rPr>
          <w:rFonts w:ascii="Times New Roman;serif" w:hAnsi="Times New Roman;serif"/>
          <w:b w:val="false"/>
          <w:color w:val="000000"/>
          <w:sz w:val="22"/>
        </w:rPr>
        <w:t>, and does not constitute a public offering or prospectus.</w: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SWEDEN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color w:val="000000"/>
          <w:sz w:val="22"/>
        </w:rPr>
        <w:t>Tax Withholding</w:t>
      </w:r>
      <w:r>
        <w:rPr>
          <w:rFonts w:ascii="Times New Roman;serif" w:hAnsi="Times New Roman;serif"/>
          <w:b w:val="false"/>
          <w:color w:val="000000"/>
          <w:sz w:val="22"/>
        </w:rPr>
        <w:t>. This provision supplements Section 2.5 of the Agreement:</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Without limiting the Company’s and the Employer’s authority to satisfy their withholding obligations for Tax-Related Items as set forth in Section 2.5 of the Agreement, in accepting the RSUs, Participant authorizes the Company and/or the Employer to sell or withhold Shares otherwise deliverable to Participant upon vesting to satisfy Tax-Related Items, regardless of whether the Company and/or the Employer have an obligation to withhold such Tax-Related Items.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SWITZERLAND</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lineRule="auto" w:line="288" w:before="0" w:after="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Neither the Agreement nor any materials relating to the RSUs (i) constitutes a prospectus according to articles 35 et seq. of the Swiss Federal Act on Financial Services (“</w:t>
      </w:r>
      <w:r>
        <w:rPr>
          <w:rFonts w:ascii="Times New Roman;serif" w:hAnsi="Times New Roman;serif"/>
          <w:b w:val="false"/>
          <w:color w:val="000000"/>
          <w:sz w:val="22"/>
          <w:u w:val="single"/>
        </w:rPr>
        <w:t>FinSA</w:t>
      </w:r>
      <w:r>
        <w:rPr>
          <w:color w:val="000000"/>
        </w:rPr>
        <w:t>”</w:t>
      </w:r>
      <w:r>
        <w:rPr>
          <w:rFonts w:ascii="Times New Roman;serif" w:hAnsi="Times New Roman;serif"/>
          <w:b w:val="false"/>
          <w:color w:val="000000"/>
          <w:sz w:val="22"/>
        </w:rPr>
        <w:t>), (ii) may be publicly distributed or otherwise made publicly available in Switzerland to any person other than an employee of the Company, or (iii) has been or will be filed with, approved or supervised by any Swiss reviewing body according to article 51 of FinSA or any Swiss regulatory authority, including the Swiss Financial Market Supervisory Authority (FINMA).</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TAIWAN</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0"/>
        <w:jc w:val="left"/>
        <w:rPr/>
      </w:pPr>
      <w:r>
        <w:rPr>
          <w:rFonts w:ascii="Times New Roman;serif" w:hAnsi="Times New Roman;serif"/>
          <w:b/>
          <w:color w:val="000000"/>
          <w:sz w:val="22"/>
        </w:rPr>
        <w:t>Data Privacy</w:t>
      </w:r>
      <w:r>
        <w:rPr>
          <w:rFonts w:ascii="Times New Roman;serif" w:hAnsi="Times New Roman;serif"/>
          <w:b w:val="false"/>
          <w:color w:val="000000"/>
          <w:sz w:val="22"/>
        </w:rPr>
        <w:t>. This provision supplements Section 3.7 of the Agreement:</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Participant hereby acknowledges that Participant has read and understood the terms regarding the collection, processing and transfer of Data contained in Section 3.7 of the Agreement and by participating in the Plan, Participant agrees to such terms. In this regard, upon request of the Company or the Employer, Participant agrees to provide an executed data privacy consent form to the Company or the Employer (or any other agreements or consents that may be required by the Company or the Employer) that the Company and/or the Employer may deem necessary to obtain under the data privacy laws in Participant’s country, either now or in the future. Participant understands that Participant will not be able to participate in the Plan if Participant fails to execute any such consent or agreement.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Notifications</w:t>
      </w:r>
    </w:p>
    <w:p>
      <w:pPr>
        <w:pStyle w:val="TextBody"/>
        <w:bidi w:val="0"/>
        <w:spacing w:lineRule="auto" w:line="288" w:before="0" w:after="0"/>
        <w:jc w:val="both"/>
        <w:rPr/>
      </w:pPr>
      <w:r>
        <w:rPr>
          <w:rFonts w:ascii="Times New Roman;serif" w:hAnsi="Times New Roman;serif"/>
          <w:b/>
          <w:color w:val="000000"/>
          <w:sz w:val="22"/>
        </w:rPr>
        <w:t>Securities Law Information</w:t>
      </w:r>
      <w:r>
        <w:rPr>
          <w:rFonts w:ascii="Times New Roman;serif" w:hAnsi="Times New Roman;serif"/>
          <w:b w:val="false"/>
          <w:color w:val="000000"/>
          <w:sz w:val="22"/>
        </w:rPr>
        <w:t>. The offer of participation in the Plan is available only for employees or service providers of the Company and any Parent or Affiliate. The offer of participation in the Plan is not a public offer of securities by a Taiwanese company.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UNITED KINGDOM</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Terms and Conditions</w:t>
      </w:r>
    </w:p>
    <w:p>
      <w:pPr>
        <w:pStyle w:val="TextBody"/>
        <w:bidi w:val="0"/>
        <w:spacing w:lineRule="auto" w:line="288" w:before="0" w:after="240"/>
        <w:jc w:val="both"/>
        <w:rPr/>
      </w:pPr>
      <w:r>
        <w:rPr>
          <w:rFonts w:ascii="Times New Roman;serif" w:hAnsi="Times New Roman;serif"/>
          <w:b/>
          <w:color w:val="000000"/>
          <w:sz w:val="22"/>
        </w:rPr>
        <w:t>Tax Withholding</w:t>
      </w:r>
      <w:r>
        <w:rPr>
          <w:rFonts w:ascii="Times New Roman;serif" w:hAnsi="Times New Roman;serif"/>
          <w:b w:val="false"/>
          <w:color w:val="000000"/>
          <w:sz w:val="22"/>
        </w:rPr>
        <w:t>. This provision supplements Section 2.5 of the Agreement:</w:t>
      </w:r>
    </w:p>
    <w:p>
      <w:pPr>
        <w:pStyle w:val="TextBody"/>
        <w:bidi w:val="0"/>
        <w:spacing w:lineRule="auto" w:line="288" w:before="100" w:after="100"/>
        <w:jc w:val="both"/>
        <w:rPr/>
      </w:pPr>
      <w:r>
        <w:rPr>
          <w:rFonts w:ascii="Times New Roman;serif" w:hAnsi="Times New Roman;serif"/>
          <w:b w:val="false"/>
          <w:color w:val="000000"/>
          <w:sz w:val="22"/>
        </w:rPr>
        <w:t>Without limitation to Section 2.5 of the Agreement, Participant hereby agrees that he or she is liable for any Tax-Related Items related to his or her participation in the Plan and hereby covenants to pay such Tax-Related Items, as and when requested by the Company or (if different) the Employer or by HM Revenue &amp; Customs (“</w:t>
      </w:r>
      <w:r>
        <w:rPr>
          <w:rFonts w:ascii="Times New Roman;serif" w:hAnsi="Times New Roman;serif"/>
          <w:b w:val="false"/>
          <w:color w:val="000000"/>
          <w:sz w:val="22"/>
          <w:u w:val="single"/>
        </w:rPr>
        <w:t>HMRC</w:t>
      </w:r>
      <w:r>
        <w:rPr>
          <w:color w:val="000000"/>
        </w:rPr>
        <w:t>”</w:t>
      </w:r>
      <w:r>
        <w:rPr>
          <w:rFonts w:ascii="Times New Roman;serif" w:hAnsi="Times New Roman;serif"/>
          <w:b w:val="false"/>
          <w:color w:val="000000"/>
          <w:sz w:val="22"/>
        </w:rPr>
        <w:t xml:space="preserve">) (or any other tax authority or any other relevant authority).  Participant also hereby agrees to indemnify and keep indemnified the Company and (if different) the Employer </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10.10</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val="false"/>
          <w:color w:val="000000"/>
          <w:sz w:val="22"/>
        </w:rPr>
      </w:pPr>
      <w:r>
        <w:rPr>
          <w:rFonts w:ascii="Times New Roman;serif" w:hAnsi="Times New Roman;serif"/>
          <w:b w:val="false"/>
          <w:color w:val="000000"/>
          <w:sz w:val="22"/>
        </w:rPr>
        <w:t>against any Tax-Related Items that they are required to pay or withhold or have paid or will pay to HMRC (or any other tax authority or any other relevant authority) on Participant’s behalf.</w:t>
      </w:r>
    </w:p>
    <w:p>
      <w:pPr>
        <w:pStyle w:val="TextBody"/>
        <w:bidi w:val="0"/>
        <w:spacing w:lineRule="auto" w:line="288" w:before="0" w:after="240"/>
        <w:jc w:val="both"/>
        <w:rPr/>
      </w:pPr>
      <w:r>
        <w:rPr>
          <w:rFonts w:ascii="Times New Roman;serif" w:hAnsi="Times New Roman;serif"/>
          <w:b w:val="false"/>
          <w:color w:val="000000"/>
          <w:sz w:val="22"/>
        </w:rPr>
        <w:t>Notwithstanding the foregoing, if Participant is a director or executive officer of the Company (within the meaning of Section 13(k) of the Exchange Act), Participant understands that the foregoing provision will not apply. Instead, any Tax-Related Items not collected or paid may constitute a benefit to Participant on which additional income tax and National Insurance Contributions (“</w:t>
      </w:r>
      <w:r>
        <w:rPr>
          <w:rFonts w:ascii="Times New Roman;serif" w:hAnsi="Times New Roman;serif"/>
          <w:b w:val="false"/>
          <w:color w:val="000000"/>
          <w:sz w:val="22"/>
          <w:u w:val="single"/>
        </w:rPr>
        <w:t>NICs</w:t>
      </w:r>
      <w:r>
        <w:rPr>
          <w:color w:val="000000"/>
        </w:rPr>
        <w:t>”</w:t>
      </w:r>
      <w:r>
        <w:rPr>
          <w:rFonts w:ascii="Times New Roman;serif" w:hAnsi="Times New Roman;serif"/>
          <w:b w:val="false"/>
          <w:color w:val="000000"/>
          <w:sz w:val="22"/>
        </w:rPr>
        <w:t>) may be payable.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can be recovered by any means set out in the Agreement.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10.11</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INTUITIVE SURGICAL, INC.</w:t>
        <w:br/>
        <w:t xml:space="preserve">2010 INCENTIVE AWARD PLAN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STOCK UNIT AWARD GRANT NOTICE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Intuitive Surgical,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pursuant to its Amended and Restated 2010 Incentive Award Plan, as amended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hereby grants to the holder listed below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an award of performance stock units (“</w:t>
      </w:r>
      <w:r>
        <w:rPr>
          <w:rFonts w:ascii="Times New Roman;serif" w:hAnsi="Times New Roman;serif"/>
          <w:b w:val="false"/>
          <w:color w:val="000000"/>
          <w:sz w:val="24"/>
          <w:u w:val="single"/>
        </w:rPr>
        <w:t>Performance Stock Units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xml:space="preserve">). Each vested Performance Stock Unit represents the right to receive, in accordance with the Performance Stock Unit Award Agreement attached hereto as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a number of shares of Common Stock (each, a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based on the Company’s achievement of certain performance goals over the applicable performance period. This award of Performance Stock Units is subject to all of the terms and conditions set forth herein and in the Agreement and the Plan, each of which are incorporated herein by reference. Unless otherwise defined herein, the terms defined in the Plan shall have the same defined meanings in this Performance Stock Unit Award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and the Agreement.</w:t>
      </w:r>
    </w:p>
    <w:tbl>
      <w:tblPr>
        <w:tblW w:w="10205" w:type="dxa"/>
        <w:jc w:val="left"/>
        <w:tblInd w:w="0" w:type="dxa"/>
        <w:tblLayout w:type="fixed"/>
        <w:tblCellMar>
          <w:top w:w="28" w:type="dxa"/>
          <w:left w:w="28" w:type="dxa"/>
          <w:bottom w:w="28" w:type="dxa"/>
          <w:right w:w="28" w:type="dxa"/>
        </w:tblCellMar>
      </w:tblPr>
      <w:tblGrid>
        <w:gridCol w:w="860"/>
        <w:gridCol w:w="409"/>
        <w:gridCol w:w="401"/>
        <w:gridCol w:w="3077"/>
        <w:gridCol w:w="2335"/>
        <w:gridCol w:w="3123"/>
      </w:tblGrid>
      <w:tr>
        <w:trPr/>
        <w:tc>
          <w:tcPr>
            <w:tcW w:w="8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123" w:type="dxa"/>
            <w:tcBorders/>
            <w:vAlign w:val="center"/>
          </w:tcPr>
          <w:p>
            <w:pPr>
              <w:pStyle w:val="TableContents"/>
              <w:bidi w:val="0"/>
              <w:spacing w:before="0" w:after="283"/>
              <w:jc w:val="left"/>
              <w:rPr>
                <w:sz w:val="4"/>
                <w:szCs w:val="4"/>
              </w:rPr>
            </w:pPr>
            <w:r>
              <w:rPr>
                <w:sz w:val="4"/>
                <w:szCs w:val="4"/>
              </w:rPr>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4"/>
              </w:rPr>
            </w:pPr>
            <w:r>
              <w:rPr>
                <w:rFonts w:ascii="Times New Roman;serif" w:hAnsi="Times New Roman;serif"/>
                <w:b/>
                <w:color w:val="000000"/>
                <w:sz w:val="24"/>
              </w:rPr>
              <w:t>Grant Number:</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[_____________]</w:t>
            </w:r>
            <w:r>
              <w:rPr>
                <w:color w:val="000000"/>
                <w:u w:val="single"/>
              </w:rPr>
              <w:t xml:space="preserve"> </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4"/>
              </w:rPr>
            </w:pPr>
            <w:r>
              <w:rPr>
                <w:rFonts w:ascii="Times New Roman;serif" w:hAnsi="Times New Roman;serif"/>
                <w:b/>
                <w:color w:val="000000"/>
                <w:sz w:val="24"/>
              </w:rPr>
              <w:t>Participant:</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tc>
      </w:tr>
      <w:tr>
        <w:trPr/>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Grant Date:</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4"/>
              </w:rPr>
            </w:pPr>
            <w:r>
              <w:rPr>
                <w:rFonts w:ascii="Times New Roman;serif" w:hAnsi="Times New Roman;serif"/>
                <w:b/>
                <w:color w:val="000000"/>
                <w:sz w:val="24"/>
              </w:rPr>
              <w:t>Target Number of PSUs:</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[_____________]</w:t>
            </w:r>
            <w:r>
              <w:rPr>
                <w:color w:val="000000"/>
                <w:u w:val="single"/>
              </w:rPr>
              <w:t xml:space="preserve"> </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4"/>
              </w:rPr>
            </w:pPr>
            <w:r>
              <w:rPr>
                <w:rFonts w:ascii="Times New Roman;serif" w:hAnsi="Times New Roman;serif"/>
                <w:b/>
                <w:color w:val="000000"/>
                <w:sz w:val="24"/>
              </w:rPr>
              <w:t>Maximum Achievement Factor %:</w:t>
            </w:r>
          </w:p>
        </w:tc>
        <w:tc>
          <w:tcPr>
            <w:tcW w:w="853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The PSUs shall have the Maximum Achievement Factor % as provided in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r>
              <w:rPr>
                <w:color w:val="000000"/>
                <w:u w:val="single"/>
              </w:rPr>
              <w:t xml:space="preserve"> </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4"/>
              </w:rPr>
            </w:pPr>
            <w:r>
              <w:rPr>
                <w:rFonts w:ascii="Times New Roman;serif" w:hAnsi="Times New Roman;serif"/>
                <w:b/>
                <w:color w:val="000000"/>
                <w:sz w:val="24"/>
              </w:rPr>
              <w:t>Vesting Schedule:</w:t>
            </w:r>
          </w:p>
        </w:tc>
        <w:tc>
          <w:tcPr>
            <w:tcW w:w="8535"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4"/>
              </w:rPr>
              <w:t xml:space="preserve">The PSUs shall vest as provided in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tc>
      </w:tr>
      <w:tr>
        <w:trPr/>
        <w:tc>
          <w:tcPr>
            <w:tcW w:w="1670" w:type="dxa"/>
            <w:gridSpan w:val="3"/>
            <w:tcBorders/>
            <w:tcMar>
              <w:top w:w="0" w:type="dxa"/>
              <w:left w:w="0" w:type="dxa"/>
              <w:bottom w:w="0" w:type="dxa"/>
              <w:right w:w="0" w:type="dxa"/>
            </w:tcMar>
            <w:vAlign w:val="center"/>
          </w:tcPr>
          <w:p>
            <w:pPr>
              <w:pStyle w:val="TableContents"/>
              <w:bidi w:val="0"/>
              <w:spacing w:lineRule="auto" w:line="288" w:before="60" w:after="60"/>
              <w:ind w:left="0" w:right="0" w:hanging="7"/>
              <w:jc w:val="left"/>
              <w:rPr>
                <w:rFonts w:ascii="Times New Roman;serif" w:hAnsi="Times New Roman;serif"/>
                <w:b/>
                <w:color w:val="000000"/>
                <w:sz w:val="24"/>
              </w:rPr>
            </w:pPr>
            <w:r>
              <w:rPr>
                <w:rFonts w:ascii="Times New Roman;serif" w:hAnsi="Times New Roman;serif"/>
                <w:b/>
                <w:color w:val="000000"/>
                <w:sz w:val="24"/>
              </w:rPr>
              <w:t>Termination of PSUs:</w:t>
            </w:r>
          </w:p>
        </w:tc>
        <w:tc>
          <w:tcPr>
            <w:tcW w:w="8535" w:type="dxa"/>
            <w:gridSpan w:val="3"/>
            <w:tcBorders/>
            <w:tcMar>
              <w:top w:w="0" w:type="dxa"/>
              <w:left w:w="0" w:type="dxa"/>
              <w:bottom w:w="0" w:type="dxa"/>
              <w:right w:w="0" w:type="dxa"/>
            </w:tcMar>
            <w:vAlign w:val="center"/>
          </w:tcPr>
          <w:p>
            <w:pPr>
              <w:pStyle w:val="TableContents"/>
              <w:bidi w:val="0"/>
              <w:spacing w:lineRule="auto" w:line="288" w:before="120" w:after="240"/>
              <w:ind w:left="0" w:right="0" w:hanging="4"/>
              <w:jc w:val="both"/>
              <w:rPr/>
            </w:pPr>
            <w:r>
              <w:rPr>
                <w:rFonts w:ascii="Times New Roman;serif" w:hAnsi="Times New Roman;serif"/>
                <w:b w:val="false"/>
                <w:color w:val="000000"/>
                <w:sz w:val="24"/>
              </w:rPr>
              <w:t xml:space="preserve">Except as set forth in the Agreement, if the Participant experiences a Termination of Service, all PSUs that have not become vested on or prior to the date of such Termination of Service will thereupon be automatically forfeited by the Participant without payment of any consideration therefor. In addition, in the event that the Operating Margin Achievement Factor and/or the Procedures Achievement Factor (each, as defined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as of the applicable Determination Date (as defined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is zero, the PSUs eligible to vest based on the applicable Achievement Factor (as defined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will thereupon be automatically forfeited by the Participant without payment of any consideration therefor.</w:t>
            </w:r>
          </w:p>
        </w:tc>
      </w:tr>
    </w:tbl>
    <w:p>
      <w:pPr>
        <w:pStyle w:val="TextBody"/>
        <w:bidi w:val="0"/>
        <w:spacing w:lineRule="auto" w:line="288" w:before="12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By accepting this Award electronically through the Plan service provider’s online grant acceptance policy, the Participant agrees to be bound by the terms and conditions of the Plan, the Agreement and this Grant Notice. The Participant has reviewed the Agreement, the Plan and this Grant Notice in their entirety, has had an opportunity to obtain the advice of counsel prior to executing this Grant Notice and fully understands all provisions of this Grant Notice, the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16840"/>
                <wp:effectExtent l="0" t="0" r="0" b="0"/>
                <wp:wrapNone/>
                <wp:docPr id="156" name="Frame1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10318731_1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10318731_1</w:t>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4"/>
        </w:rPr>
      </w:pPr>
      <w:r>
        <w:rPr>
          <w:rFonts w:ascii="Times New Roman;serif" w:hAnsi="Times New Roman;serif"/>
          <w:b w:val="false"/>
          <w:color w:val="000000"/>
          <w:sz w:val="24"/>
        </w:rPr>
        <w:t>and the Plan. The Participant hereby agrees to accept as binding, conclusive and final all decisions or interpretations of the Administrator upon any questions arising under the Plan, this Grant Notice or the Agreement. In addition, by accepting this Award electronically through the Plan service provider’s online grant acceptance policy, the Participant also agrees that the Company, in its sole discretion, may satisfy any withholding obligations in accordance with Section 2.6(b) of the Agreement by (i) withholding shares of Common Stock otherwise issuable to the Participant upon vesting of the PSUs, (ii) instructing a broker on the Participant’s behalf to sell shares of Common Stock otherwise issuable to the Participant upon vesting of the PSUs and submit the proceeds of such sale to the Company, or (iii) using any other method permitted by Section 2.6(b) of the Agreement or the Plan.</w:t>
      </w:r>
    </w:p>
    <w:tbl>
      <w:tblPr>
        <w:tblW w:w="7843" w:type="dxa"/>
        <w:jc w:val="left"/>
        <w:tblInd w:w="0" w:type="dxa"/>
        <w:tblLayout w:type="fixed"/>
        <w:tblCellMar>
          <w:top w:w="28" w:type="dxa"/>
          <w:left w:w="28" w:type="dxa"/>
          <w:bottom w:w="28" w:type="dxa"/>
          <w:right w:w="28" w:type="dxa"/>
        </w:tblCellMar>
      </w:tblPr>
      <w:tblGrid>
        <w:gridCol w:w="688"/>
        <w:gridCol w:w="604"/>
        <w:gridCol w:w="604"/>
        <w:gridCol w:w="604"/>
        <w:gridCol w:w="604"/>
        <w:gridCol w:w="614"/>
        <w:gridCol w:w="1207"/>
        <w:gridCol w:w="1207"/>
        <w:gridCol w:w="1711"/>
      </w:tblGrid>
      <w:tr>
        <w:trPr/>
        <w:tc>
          <w:tcPr>
            <w:tcW w:w="68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718" w:type="dxa"/>
            <w:gridSpan w:val="6"/>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color w:val="000000"/>
                <w:sz w:val="24"/>
              </w:rPr>
            </w:pPr>
            <w:r>
              <w:rPr>
                <w:rFonts w:ascii="Times New Roman;serif" w:hAnsi="Times New Roman;serif"/>
                <w:b/>
                <w:color w:val="000000"/>
                <w:sz w:val="24"/>
              </w:rPr>
              <w:t>INTUITIVE SURGICAL, INC.:    </w:t>
            </w:r>
          </w:p>
        </w:tc>
        <w:tc>
          <w:tcPr>
            <w:tcW w:w="41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PARTICIPANT</w:t>
            </w:r>
          </w:p>
          <w:p>
            <w:pPr>
              <w:pStyle w:val="TableContents"/>
              <w:bidi w:val="0"/>
              <w:spacing w:before="0" w:after="0"/>
              <w:jc w:val="left"/>
              <w:rPr/>
            </w:pPr>
            <w:r>
              <w:rPr/>
            </w:r>
          </w:p>
          <w:p>
            <w:pPr>
              <w:pStyle w:val="TableContents"/>
              <w:bidi w:val="0"/>
              <w:spacing w:lineRule="auto" w:line="288" w:before="0" w:after="0"/>
              <w:ind w:left="0" w:right="0" w:firstLine="720"/>
              <w:jc w:val="center"/>
              <w:rPr>
                <w:rFonts w:ascii="Times New Roman;serif" w:hAnsi="Times New Roman;serif"/>
                <w:b/>
                <w:color w:val="000000"/>
                <w:sz w:val="22"/>
              </w:rPr>
            </w:pPr>
            <w:r>
              <w:rPr>
                <w:rFonts w:ascii="Times New Roman;serif" w:hAnsi="Times New Roman;serif"/>
                <w:b/>
                <w:color w:val="000000"/>
                <w:sz w:val="22"/>
              </w:rPr>
              <w:t>via Online Electronic Acceptance</w:t>
            </w:r>
          </w:p>
        </w:tc>
      </w:tr>
      <w:tr>
        <w:trPr/>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4"/>
              </w:rPr>
            </w:pPr>
            <w:r>
              <w:rPr>
                <w:rFonts w:ascii="Times New Roman;serif" w:hAnsi="Times New Roman;serif"/>
                <w:b w:val="false"/>
                <w:color w:val="000000"/>
                <w:sz w:val="24"/>
              </w:rPr>
              <w:t>By:</w:t>
            </w:r>
          </w:p>
        </w:tc>
        <w:tc>
          <w:tcPr>
            <w:tcW w:w="1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6"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w:t>
            </w:r>
          </w:p>
        </w:tc>
        <w:tc>
          <w:tcPr>
            <w:tcW w:w="1822"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color w:val="000000"/>
                <w:u w:val="single"/>
              </w:rPr>
            </w:pPr>
            <w:r>
              <w:rPr>
                <w:color w:val="000000"/>
                <w:u w:val="single"/>
              </w:rPr>
              <w:t>                </w:t>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40"/>
        <w:ind w:left="0" w:right="0" w:firstLine="720"/>
        <w:jc w:val="both"/>
        <w:rPr/>
      </w:pPr>
      <w:r>
        <w:rPr/>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50520"/>
                <wp:effectExtent l="0" t="0" r="0" b="0"/>
                <wp:wrapNone/>
                <wp:docPr id="157" name="Frame1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TO PERFORMANCE STOCK UNIT AWARD GRANT NOTICE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PERFORMANCE STOCK UNIT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Performance Stock Unit Award Grant Notice (the “</w:t>
      </w:r>
      <w:r>
        <w:rPr>
          <w:rFonts w:ascii="Times New Roman;serif" w:hAnsi="Times New Roman;serif"/>
          <w:b w:val="false"/>
          <w:color w:val="000000"/>
          <w:sz w:val="24"/>
          <w:u w:val="single"/>
        </w:rPr>
        <w:t>Grant Notice</w:t>
      </w:r>
      <w:r>
        <w:rPr>
          <w:color w:val="000000"/>
        </w:rPr>
        <w:t>”</w:t>
      </w:r>
      <w:r>
        <w:rPr>
          <w:rFonts w:ascii="Times New Roman;serif" w:hAnsi="Times New Roman;serif"/>
          <w:b w:val="false"/>
          <w:color w:val="000000"/>
          <w:sz w:val="24"/>
        </w:rPr>
        <w:t>) to which this Performance Stock Unit Award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attached, Intuitive Surgical,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has granted to the Participant the number of performance stock units (“</w:t>
      </w:r>
      <w:r>
        <w:rPr>
          <w:rFonts w:ascii="Times New Roman;serif" w:hAnsi="Times New Roman;serif"/>
          <w:b w:val="false"/>
          <w:color w:val="000000"/>
          <w:sz w:val="24"/>
          <w:u w:val="single"/>
        </w:rPr>
        <w:t>Performance Stock Units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set forth in the Grant Notice under the Company’s 2010 Incentive Award Plan, as amended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Each Performance Stock Unit represents the right to receive a number of shares of Common Stock (each, a “</w:t>
      </w:r>
      <w:r>
        <w:rPr>
          <w:rFonts w:ascii="Times New Roman;serif" w:hAnsi="Times New Roman;serif"/>
          <w:b w:val="false"/>
          <w:color w:val="000000"/>
          <w:sz w:val="24"/>
          <w:u w:val="single"/>
        </w:rPr>
        <w:t>Share</w:t>
      </w:r>
      <w:r>
        <w:rPr>
          <w:color w:val="000000"/>
        </w:rPr>
        <w:t>”</w:t>
      </w:r>
      <w:r>
        <w:rPr>
          <w:rFonts w:ascii="Times New Roman;serif" w:hAnsi="Times New Roman;serif"/>
          <w:b w:val="false"/>
          <w:color w:val="000000"/>
          <w:sz w:val="24"/>
        </w:rPr>
        <w:t>) based on the Company’s achievement of certain performance goals. Capitalized terms not specifically defined herein shall have the meanings specified in the Plan and Grant Notice.</w:t>
      </w:r>
    </w:p>
    <w:p>
      <w:pPr>
        <w:pStyle w:val="TextBody"/>
        <w:bidi w:val="0"/>
        <w:spacing w:lineRule="auto" w:line="288" w:before="0" w:after="0"/>
        <w:jc w:val="center"/>
        <w:rPr/>
      </w:pPr>
      <w:r>
        <w:rPr>
          <w:rFonts w:ascii="Times New Roman;serif" w:hAnsi="Times New Roman;serif"/>
          <w:b/>
          <w:color w:val="000000"/>
          <w:sz w:val="24"/>
        </w:rPr>
        <w:t>ARTICLE I.</w:t>
      </w:r>
      <w:r>
        <w:rPr>
          <w:rFonts w:ascii="Times New Roman;serif" w:hAnsi="Times New Roman;serif"/>
          <w:b/>
          <w:color w:val="000000"/>
          <w:sz w:val="24"/>
        </w:rPr>
        <w:br/>
        <w:t>GENERAL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Incorporation of Terms of Plan</w:t>
      </w:r>
      <w:r>
        <w:rPr>
          <w:rFonts w:ascii="Times New Roman;serif" w:hAnsi="Times New Roman;serif"/>
          <w:b w:val="false"/>
          <w:color w:val="000000"/>
          <w:sz w:val="24"/>
        </w:rPr>
        <w:t>. The PSUs are subject to the terms and conditions of the Plan, which are incorporated herein by reference. In the event of any inconsistency between the Plan and this Agreement, the terms of the Plan shall control.</w:t>
      </w:r>
    </w:p>
    <w:p>
      <w:pPr>
        <w:pStyle w:val="TextBody"/>
        <w:bidi w:val="0"/>
        <w:spacing w:lineRule="auto" w:line="288" w:before="0" w:after="0"/>
        <w:jc w:val="center"/>
        <w:rPr/>
      </w:pPr>
      <w:r>
        <w:rPr>
          <w:rFonts w:ascii="Times New Roman;serif" w:hAnsi="Times New Roman;serif"/>
          <w:b/>
          <w:color w:val="000000"/>
          <w:sz w:val="24"/>
        </w:rPr>
        <w:t>ARTICLE II.</w:t>
      </w:r>
      <w:r>
        <w:rPr>
          <w:rFonts w:ascii="Times New Roman;serif" w:hAnsi="Times New Roman;serif"/>
          <w:b/>
          <w:color w:val="000000"/>
          <w:sz w:val="24"/>
        </w:rPr>
        <w:br/>
        <w:t>GRANT OF PERFORMANCE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Grant of PSUs</w:t>
      </w:r>
      <w:r>
        <w:rPr>
          <w:rFonts w:ascii="Times New Roman;serif" w:hAnsi="Times New Roman;serif"/>
          <w:b w:val="false"/>
          <w:color w:val="000000"/>
          <w:sz w:val="24"/>
        </w:rPr>
        <w:t>. Pursuant to the Grant Notice and upon the terms and conditions set forth in the Plan and this Agreement, effective as of the Grant Date set forth in the Grant Notice, the Company hereby grants to the Participant an award of PSUs under the Plan in consideration of the Participant’s past and/or continued employment with or service to the Company or any Subsidiaries and for other good and valuable consideration.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Unsecured Obligation to PSUs</w:t>
      </w:r>
      <w:r>
        <w:rPr>
          <w:rFonts w:ascii="Times New Roman;serif" w:hAnsi="Times New Roman;serif"/>
          <w:b w:val="false"/>
          <w:color w:val="000000"/>
          <w:sz w:val="24"/>
        </w:rPr>
        <w:t>. Each PSU constitutes the right to receive a number of Shares upon vesting, as determined in accordance with Section 2.3 and 2.6 below. Unless and until the PSUs have vested in the manner set forth in Article 2 hereof, the Participant will have no right to receive Common Stock under any such PSUs. Prior to actual payment of any vested PSUs, such PSUs will represent an unsecured obligation of the Company, payable (if at all) only from the general assets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Vesting Schedule; Change in Control</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Section 2.5 hereof, the PSUs shall vest and become non-forfeitable with respect to the applicable portion thereof in accordance with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to the Grant Notice and this Section 2.3.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Section 2.3(a), if a Change in Control occurs and Participant has not experienced a Termination of Service prior to the date of the Change in Control, then a number of PSUs equal to the greater of (i) such number of PSUs as would vest based on the Operating Margin Achievement Factor and each Procedures Achievement Factor as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67665"/>
                <wp:effectExtent l="0" t="0" r="0" b="0"/>
                <wp:wrapNone/>
                <wp:docPr id="158" name="Frame156"/>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determined by the Administrator as of the Change in Control in accordance with </w:t>
      </w:r>
      <w:r>
        <w:rPr>
          <w:rFonts w:ascii="Times New Roman;serif" w:hAnsi="Times New Roman;serif"/>
          <w:b w:val="false"/>
          <w:color w:val="000000"/>
          <w:sz w:val="24"/>
          <w:u w:val="single"/>
        </w:rPr>
        <w:t>Exhibit B</w:t>
      </w:r>
      <w:r>
        <w:rPr>
          <w:rFonts w:ascii="Times New Roman;serif" w:hAnsi="Times New Roman;serif"/>
          <w:b w:val="false"/>
          <w:color w:val="000000"/>
          <w:sz w:val="24"/>
        </w:rPr>
        <w:t>; and (ii) the Target Number of PSUs (such greater number the “</w:t>
      </w:r>
      <w:r>
        <w:rPr>
          <w:rFonts w:ascii="Times New Roman;serif" w:hAnsi="Times New Roman;serif"/>
          <w:b w:val="false"/>
          <w:color w:val="000000"/>
          <w:sz w:val="24"/>
          <w:u w:val="single"/>
        </w:rPr>
        <w:t>Deemed Performance Vested Units</w:t>
      </w:r>
      <w:r>
        <w:rPr>
          <w:color w:val="000000"/>
        </w:rPr>
        <w:t>”</w:t>
      </w:r>
      <w:r>
        <w:rPr>
          <w:rFonts w:ascii="Times New Roman;serif" w:hAnsi="Times New Roman;serif"/>
          <w:b w:val="false"/>
          <w:color w:val="000000"/>
          <w:sz w:val="24"/>
        </w:rPr>
        <w:t>) shall be deemed performance vested upon the Change in Control, shall be assumed, substituted, replaced or continued by the surviving corporation or successor (or affiliate thereof) and shall vest on the third anniversary of the Grant Date as long as Participant does not experience a Termination of Service prior to such anniversary. Notwithstanding the foregoing, all such assumed, substituted, replaced or continued PSUs shall immediately vest if Participant experiences a Termination of Service within twelve months following the Change in Control due to termination by the Company without Cause or as a result of an Involuntary Termination (each as defined in the Intuitive Surgical, Inc. Severance Plan). If a Change in Control occurs, Participant has not experienced a Termination of Service prior to the date of the Change in Control and the PSUs are not assumed, substituted, replaced or continued by the surviving corporation or successor (or affiliate thereof) in connection with the Change in Control, then a number of PSUs equal to the Deemed Performance Vested Units shall immediately fully vest upon the Change in Control.</w:t>
      </w:r>
    </w:p>
    <w:p>
      <w:pPr>
        <w:pStyle w:val="TextBody"/>
        <w:bidi w:val="0"/>
        <w:spacing w:lineRule="auto" w:line="288"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Consideration to the Company</w:t>
      </w:r>
      <w:r>
        <w:rPr>
          <w:rFonts w:ascii="Times New Roman;serif" w:hAnsi="Times New Roman;serif"/>
          <w:b w:val="false"/>
          <w:color w:val="000000"/>
          <w:sz w:val="24"/>
        </w:rPr>
        <w:t xml:space="preserve">. In consideration of the grant of the award of PSUs pursuant hereto, the Participant agrees to render faithful and efficient services to the Company or any Subsidiary. </w:t>
      </w:r>
    </w:p>
    <w:p>
      <w:pPr>
        <w:pStyle w:val="TextBody"/>
        <w:bidi w:val="0"/>
        <w:spacing w:lineRule="auto" w:line="288"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Forfeiture, Termination and Cancellation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(a)Subject to Section 2.3(b) and to subsections (b) and (c) below, upon Participant’s Termination of Service for any or no reason, all Performance Stock Units which have not vested prior to or in connection with such Termination of Service shall thereupon automatically be forfeited, terminated and cancelled as of the applicable date of the Termination of Service without payment of any consideration by the Company, and the Participant, or the Participant’s beneficiary or personal representative, as the case may be, shall have no further rights hereunder.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(b)Upon Participant’s Termination of Service (i) by the Company without Cause after the first anniversary of the Vesting Schedule Commencement Date or (ii) due to Participant’s death, the following number of PSUs shall accelerate and become immediately vested: the number of PSUs equal to the product of (A) the Target Number of PSUs and (B) a fraction, the numerator of which is the number of days from the Vesting Schedule Commencement Date until the date of Termination of Service and the denominator of which is 1,095.</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(c)No portion of the PSUs which has not become vested as of the date on which the Participant incurs a Termination of Service, after giving effect to any acceleration of vesting in connection with such Termination of Service, shall thereafter become vested.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(d)Notwithstanding anything herein to the contrary, in the event that the Operating Margin Achievement Factor and/or the Procedures Achievement Factor as of the applicable Determination Date is zero, the PSUs eligible to vest based on the applicable Achievement Factor will thereupon be automatically forfeited by the Participant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7665"/>
                <wp:effectExtent l="0" t="0" r="0" b="0"/>
                <wp:wrapNone/>
                <wp:docPr id="159" name="Frame15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payment of any consideration therefor, and the Participant, or the Participant’s beneficiary or personal representative, as the case may be, shall have no further rights hereunder.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Settlement Upon Vesting</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As soon as administratively practicable following the vesting of any Performance Stock Units pursuant to Section 2.3 hereof, but in no event later than March 15 of the calendar year following the year in which the Vesting Date (as defined in </w:t>
      </w:r>
      <w:r>
        <w:rPr>
          <w:rFonts w:ascii="Times New Roman;serif" w:hAnsi="Times New Roman;serif"/>
          <w:b w:val="false"/>
          <w:color w:val="000000"/>
          <w:sz w:val="24"/>
          <w:u w:val="single"/>
        </w:rPr>
        <w:t>Exhibit B</w:t>
      </w:r>
      <w:r>
        <w:rPr>
          <w:rFonts w:ascii="Times New Roman;serif" w:hAnsi="Times New Roman;serif"/>
          <w:b w:val="false"/>
          <w:color w:val="000000"/>
          <w:sz w:val="24"/>
        </w:rPr>
        <w:t xml:space="preserve">) occurs (for the avoidance of doubt, this deadline is intended to comply with the “short term deferral” exemption from Section 409A of the Code), the Company shall deliver to the Participant (or any transferee permitted under Section 3.2 hereof) a number of Shares equal to the number of vested PSUs as determined in accordance with </w:t>
      </w:r>
      <w:r>
        <w:rPr>
          <w:rFonts w:ascii="Times New Roman;serif" w:hAnsi="Times New Roman;serif"/>
          <w:b w:val="false"/>
          <w:color w:val="000000"/>
          <w:sz w:val="24"/>
          <w:u w:val="single"/>
        </w:rPr>
        <w:t>Exhibit B</w:t>
      </w:r>
      <w:r>
        <w:rPr>
          <w:rFonts w:ascii="Times New Roman;serif" w:hAnsi="Times New Roman;serif"/>
          <w:b w:val="false"/>
          <w:color w:val="000000"/>
          <w:sz w:val="24"/>
        </w:rPr>
        <w:t>. Notwithstanding the foregoing, in the event Shares cannot be issued pursuant to Section 11.4 of the Plan, the Shares shall be issued pursuant to the preceding sentence as soon as administratively practicable after the Administrator determines that Shares can again be issued in accordance with such Section.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As set forth in Section 11.2 of the Plan, the Company shall have the authority and the right to deduct or withhold, or to require the Participant to remit to the Company, an amount sufficient to satisfy all applicable federal, state, local and foreign income and payroll taxes required by law to be withheld with respect to any taxable event arising in connection with the Performance Stock Units based on the minimum statutory withholding rates applicable to supplemental taxable income. The Company shall not be obligated to deliver any Shares to the Participant or the Participant’s legal representative unless and until the Participant or the Participant’s legal representative shall have paid or otherwise satisfied in full the amount of all federal, state, local and foreign taxes applicable to the taxable income of the Participant resulting from the grant or vesting of the Performance Stock Units or the issuance of Shares.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Conditions to Delivery of Shares</w:t>
      </w:r>
      <w:r>
        <w:rPr>
          <w:rFonts w:ascii="Times New Roman;serif" w:hAnsi="Times New Roman;serif"/>
          <w:b w:val="false"/>
          <w:color w:val="000000"/>
          <w:sz w:val="24"/>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10.4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Rights as Stockholder</w:t>
      </w:r>
      <w:r>
        <w:rPr>
          <w:rFonts w:ascii="Times New Roman;serif" w:hAnsi="Times New Roman;serif"/>
          <w:b w:val="false"/>
          <w:color w:val="000000"/>
          <w:sz w:val="24"/>
        </w:rPr>
        <w:t>. The holder of the PSUs shall not be, nor have any of the rights or privileges of, a stockholder of the Company, including, without limitation, voting rights and rights to dividends, in respect of the PSUs and any Shares underlying the PSUs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13.2 of the Plan.</w:t>
      </w:r>
    </w:p>
    <w:p>
      <w:pPr>
        <w:pStyle w:val="TextBody"/>
        <w:bidi w:val="0"/>
        <w:spacing w:lineRule="auto" w:line="288" w:before="0" w:after="0"/>
        <w:jc w:val="center"/>
        <w:rPr/>
      </w:pPr>
      <w:r>
        <w:rPr>
          <w:rFonts w:ascii="Times New Roman;serif" w:hAnsi="Times New Roman;serif"/>
          <w:b/>
          <w:color w:val="000000"/>
          <w:sz w:val="24"/>
        </w:rPr>
        <w:t>ARTICLE III.</w:t>
      </w:r>
      <w:r>
        <w:rPr>
          <w:rFonts w:ascii="Times New Roman;serif" w:hAnsi="Times New Roman;serif"/>
          <w:b/>
          <w:color w:val="000000"/>
          <w:sz w:val="24"/>
        </w:rPr>
        <w:br/>
        <w:t>OTHER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Administration</w:t>
      </w:r>
      <w:r>
        <w:rPr>
          <w:rFonts w:ascii="Times New Roman;serif" w:hAnsi="Times New Roman;serif"/>
          <w:b w:val="false"/>
          <w:color w:val="000000"/>
          <w:sz w:val="24"/>
        </w:rPr>
        <w:t xml:space="preserve">. The Administrator shall have the power to interpret the Plan and this Agreement and to adopt such rules for the administration, interpretation and application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367665"/>
                <wp:effectExtent l="0" t="0" r="0" b="0"/>
                <wp:wrapNone/>
                <wp:docPr id="160" name="Frame15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PSUs. </w:t>
      </w:r>
    </w:p>
    <w:p>
      <w:pPr>
        <w:pStyle w:val="TextBody"/>
        <w:bidi w:val="0"/>
        <w:spacing w:lineRule="auto" w:line="288" w:before="0" w:after="240"/>
        <w:ind w:left="0" w:right="0" w:firstLine="72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PSUs Not Transferable</w:t>
      </w:r>
      <w:r>
        <w:rPr>
          <w:rFonts w:ascii="Times New Roman;serif" w:hAnsi="Times New Roman;serif"/>
          <w:b w:val="false"/>
          <w:color w:val="000000"/>
          <w:sz w:val="24"/>
        </w:rPr>
        <w:t>. The PSUs shall be subject to the restrictions on transferability set forth in Section 11.3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Tax Consultation</w:t>
      </w:r>
      <w:r>
        <w:rPr>
          <w:rFonts w:ascii="Times New Roman;serif" w:hAnsi="Times New Roman;serif"/>
          <w:b w:val="false"/>
          <w:color w:val="000000"/>
          <w:sz w:val="24"/>
        </w:rPr>
        <w:t>. The Participant represents that the Company has not provided the Participant with any tax advice in connection with the PSUs and that the Participant is not relying on the Company for any tax advice in connection with the PSUs.</w:t>
      </w:r>
    </w:p>
    <w:p>
      <w:pPr>
        <w:pStyle w:val="TextBody"/>
        <w:bidi w:val="0"/>
        <w:spacing w:lineRule="auto" w:line="288" w:before="0" w:after="240"/>
        <w:ind w:left="0" w:right="0" w:firstLine="72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Binding Agreement</w:t>
      </w:r>
      <w:r>
        <w:rPr>
          <w:rFonts w:ascii="Times New Roman;serif" w:hAnsi="Times New Roman;serif"/>
          <w:b w:val="false"/>
          <w:color w:val="000000"/>
          <w:sz w:val="24"/>
        </w:rPr>
        <w:t>. Subject to the limitation on the transferability of the PSUs contained herein, this Agreement will be binding upon and inure to the benefit of the heirs, legatees, legal representatives, successors and assigns of the parties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Adjustments Upon Specified Events</w:t>
      </w:r>
      <w:r>
        <w:rPr>
          <w:rFonts w:ascii="Times New Roman;serif" w:hAnsi="Times New Roman;serif"/>
          <w:b w:val="false"/>
          <w:color w:val="000000"/>
          <w:sz w:val="24"/>
        </w:rPr>
        <w:t>. The Participant acknowledges that the PSUs are subject to adjustment, modification and termination in certain events as provided in this Agreement and Section 12.2 of the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Participant’s Representations</w:t>
      </w:r>
      <w:r>
        <w:rPr>
          <w:rFonts w:ascii="Times New Roman;serif" w:hAnsi="Times New Roman;serif"/>
          <w:b w:val="false"/>
          <w:color w:val="000000"/>
          <w:sz w:val="24"/>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and/or its counsel.</w:t>
      </w:r>
    </w:p>
    <w:p>
      <w:pPr>
        <w:pStyle w:val="TextBody"/>
        <w:bidi w:val="0"/>
        <w:spacing w:lineRule="auto" w:line="288" w:before="0" w:after="240"/>
        <w:ind w:left="0" w:right="0" w:firstLine="720"/>
        <w:jc w:val="both"/>
        <w:rPr/>
      </w:pPr>
      <w:r>
        <w:rPr>
          <w:rFonts w:ascii="Times New Roman;serif" w:hAnsi="Times New Roman;serif"/>
          <w:b w:val="false"/>
          <w:color w:val="000000"/>
          <w:sz w:val="24"/>
        </w:rPr>
        <w:t>3.8</w:t>
      </w:r>
      <w:r>
        <w:rPr>
          <w:rFonts w:ascii="Times New Roman;serif" w:hAnsi="Times New Roman;serif"/>
          <w:b w:val="false"/>
          <w:color w:val="000000"/>
          <w:sz w:val="24"/>
          <w:u w:val="single"/>
        </w:rPr>
        <w:t>Titles</w:t>
      </w:r>
      <w:r>
        <w:rPr>
          <w:rFonts w:ascii="Times New Roman;serif" w:hAnsi="Times New Roman;serif"/>
          <w:b w:val="false"/>
          <w:color w:val="000000"/>
          <w:sz w:val="24"/>
        </w:rPr>
        <w:t>. Titles are provided herein for convenience only and are not to serve as a basis for interpretation or construction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3.9</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laws of the State of Delaware shall govern the interpretation, validity, administration, enforcement and performance of the terms of this Agreement regardless of the law that might be applied under principles of conflicts of laws.</w:t>
      </w:r>
    </w:p>
    <w:p>
      <w:pPr>
        <w:pStyle w:val="TextBody"/>
        <w:bidi w:val="0"/>
        <w:spacing w:lineRule="auto" w:line="288" w:before="0" w:after="240"/>
        <w:ind w:left="0" w:right="0" w:firstLine="720"/>
        <w:jc w:val="both"/>
        <w:rPr/>
      </w:pPr>
      <w:r>
        <w:rPr>
          <w:rFonts w:ascii="Times New Roman;serif" w:hAnsi="Times New Roman;serif"/>
          <w:b w:val="false"/>
          <w:color w:val="000000"/>
          <w:sz w:val="24"/>
        </w:rPr>
        <w:t>3.10</w:t>
      </w:r>
      <w:r>
        <w:rPr>
          <w:rFonts w:ascii="Times New Roman;serif" w:hAnsi="Times New Roman;serif"/>
          <w:b w:val="false"/>
          <w:color w:val="000000"/>
          <w:sz w:val="24"/>
          <w:u w:val="single"/>
        </w:rPr>
        <w:t>Conformity to Securities Laws</w:t>
      </w:r>
      <w:r>
        <w:rPr>
          <w:rFonts w:ascii="Times New Roman;serif" w:hAnsi="Times New Roman;serif"/>
          <w:b w:val="false"/>
          <w:color w:val="000000"/>
          <w:sz w:val="24"/>
        </w:rPr>
        <w:t xml:space="preserve">. The Participant acknowledges that the Plan and this Agreement are intended to conform to the extent necessary with all provisions of the Securities Act and the Exchange Act and any other Applicable Law. Notwithstanding anything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367665"/>
                <wp:effectExtent l="0" t="0" r="0" b="0"/>
                <wp:wrapNone/>
                <wp:docPr id="161" name="Frame15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herein to the contrary, the Plan shall be administered, and the PSUs are granted, only in such a manner as to conform to Applicable Law. To the extent permitted by Applicable Law, the Plan and this Agreement shall be deemed amended to the extent necessary to conform to such Applicable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3.11</w:t>
      </w:r>
      <w:r>
        <w:rPr>
          <w:rFonts w:ascii="Times New Roman;serif" w:hAnsi="Times New Roman;serif"/>
          <w:b w:val="false"/>
          <w:color w:val="000000"/>
          <w:sz w:val="24"/>
          <w:u w:val="single"/>
        </w:rPr>
        <w:t>Amendment, Suspension and Termination</w:t>
      </w:r>
      <w:r>
        <w:rPr>
          <w:rFonts w:ascii="Times New Roman;serif" w:hAnsi="Times New Roman;serif"/>
          <w:b w:val="false"/>
          <w:color w:val="000000"/>
          <w:sz w:val="24"/>
        </w:rPr>
        <w:t xml:space="preserve">. To the extent permitted by the Plan, this Agreement may be wholly or partially amended or otherwise modified, suspended or terminated at any time or from time to time by the Administrator or the Board; provided, however, that, except as may otherwise be provided by the Plan, no amendment, modification, suspension or termination of this Agreement shall adversely affect the PSUs in any material way without the prior written consent of the Participant. </w:t>
      </w:r>
    </w:p>
    <w:p>
      <w:pPr>
        <w:pStyle w:val="TextBody"/>
        <w:bidi w:val="0"/>
        <w:spacing w:lineRule="auto" w:line="288" w:before="0" w:after="240"/>
        <w:ind w:left="0" w:right="0" w:firstLine="720"/>
        <w:jc w:val="both"/>
        <w:rPr/>
      </w:pPr>
      <w:r>
        <w:rPr>
          <w:rFonts w:ascii="Times New Roman;serif" w:hAnsi="Times New Roman;serif"/>
          <w:b w:val="false"/>
          <w:color w:val="000000"/>
          <w:sz w:val="24"/>
        </w:rPr>
        <w:t>3.12</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pStyle w:val="TextBody"/>
        <w:bidi w:val="0"/>
        <w:spacing w:lineRule="auto" w:line="288" w:before="0" w:after="240"/>
        <w:ind w:left="0" w:right="0" w:firstLine="720"/>
        <w:jc w:val="both"/>
        <w:rPr/>
      </w:pPr>
      <w:r>
        <w:rPr>
          <w:rFonts w:ascii="Times New Roman;serif" w:hAnsi="Times New Roman;serif"/>
          <w:b w:val="false"/>
          <w:color w:val="000000"/>
          <w:sz w:val="24"/>
        </w:rPr>
        <w:t>3.13</w:t>
      </w:r>
      <w:r>
        <w:rPr>
          <w:rFonts w:ascii="Times New Roman;serif" w:hAnsi="Times New Roman;serif"/>
          <w:b w:val="false"/>
          <w:color w:val="000000"/>
          <w:sz w:val="24"/>
          <w:u w:val="single"/>
        </w:rPr>
        <w:t>Limitations Applicable to Section 16 Persons</w:t>
      </w:r>
      <w:r>
        <w:rPr>
          <w:rFonts w:ascii="Times New Roman;serif" w:hAnsi="Times New Roman;serif"/>
          <w:b w:val="false"/>
          <w:color w:val="000000"/>
          <w:sz w:val="24"/>
        </w:rPr>
        <w:t>. Notwithstanding any other provision of the Plan or this Agreement, if the Participant is subject to Section 16 of the Exchange Act, then the Plan, the PSUs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pStyle w:val="TextBody"/>
        <w:bidi w:val="0"/>
        <w:spacing w:lineRule="auto" w:line="288" w:before="0" w:after="240"/>
        <w:ind w:left="0" w:right="0" w:firstLine="720"/>
        <w:jc w:val="both"/>
        <w:rPr/>
      </w:pPr>
      <w:r>
        <w:rPr>
          <w:rFonts w:ascii="Times New Roman;serif" w:hAnsi="Times New Roman;serif"/>
          <w:b w:val="false"/>
          <w:color w:val="000000"/>
          <w:sz w:val="24"/>
        </w:rPr>
        <w:t>3.14</w:t>
      </w:r>
      <w:r>
        <w:rPr>
          <w:rFonts w:ascii="Times New Roman;serif" w:hAnsi="Times New Roman;serif"/>
          <w:b w:val="false"/>
          <w:color w:val="000000"/>
          <w:sz w:val="24"/>
          <w:u w:val="single"/>
        </w:rPr>
        <w:t>Not a Contract of Service Relationship</w:t>
      </w:r>
      <w:r>
        <w:rPr>
          <w:rFonts w:ascii="Times New Roman;serif" w:hAnsi="Times New Roman;serif"/>
          <w:b w:val="false"/>
          <w:color w:val="000000"/>
          <w:sz w:val="24"/>
        </w:rPr>
        <w:t>. Nothing in this Agreement or in the Plan shall confer upon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3.15</w:t>
      </w:r>
      <w:r>
        <w:rPr>
          <w:rFonts w:ascii="Times New Roman;serif" w:hAnsi="Times New Roman;serif"/>
          <w:b w:val="false"/>
          <w:color w:val="000000"/>
          <w:sz w:val="24"/>
          <w:u w:val="single"/>
        </w:rPr>
        <w:t>Section 409A</w:t>
      </w:r>
      <w:r>
        <w:rPr>
          <w:rFonts w:ascii="Times New Roman;serif" w:hAnsi="Times New Roman;serif"/>
          <w:b w:val="false"/>
          <w:color w:val="000000"/>
          <w:sz w:val="24"/>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67665"/>
                <wp:effectExtent l="0" t="0" r="0" b="0"/>
                <wp:wrapNone/>
                <wp:docPr id="162" name="Frame16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3.16</w:t>
      </w:r>
      <w:r>
        <w:rPr>
          <w:rFonts w:ascii="Times New Roman;serif" w:hAnsi="Times New Roman;serif"/>
          <w:b w:val="false"/>
          <w:color w:val="000000"/>
          <w:sz w:val="24"/>
          <w:u w:val="single"/>
        </w:rPr>
        <w:t>Limitation on Participant’s Rights</w:t>
      </w:r>
      <w:r>
        <w:rPr>
          <w:rFonts w:ascii="Times New Roman;serif" w:hAnsi="Times New Roman;serif"/>
          <w:b w:val="false"/>
          <w:color w:val="000000"/>
          <w:sz w:val="24"/>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PSUs, and rights no greater than the right to receive the Common Stock as a general unsecured creditor with respect to PSUs, as and when payable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3.17</w:t>
      </w:r>
      <w:r>
        <w:rPr>
          <w:rFonts w:ascii="Times New Roman;serif" w:hAnsi="Times New Roman;serif"/>
          <w:b w:val="false"/>
          <w:color w:val="000000"/>
          <w:sz w:val="24"/>
          <w:u w:val="single"/>
        </w:rPr>
        <w:t>Data Privacy</w:t>
      </w:r>
      <w:r>
        <w:rPr>
          <w:rFonts w:ascii="Times New Roman;serif" w:hAnsi="Times New Roman;serif"/>
          <w:b w:val="false"/>
          <w:color w:val="000000"/>
          <w:sz w:val="24"/>
        </w:rPr>
        <w:t xml:space="preserve">. </w:t>
      </w:r>
      <w:r>
        <w:rPr>
          <w:rFonts w:ascii="Times New Roman;serif" w:hAnsi="Times New Roman;serif"/>
          <w:b/>
          <w:i/>
          <w:color w:val="000000"/>
          <w:sz w:val="24"/>
        </w:rPr>
        <w:t xml:space="preserve">If Participant would like to participate in the Plan, Participant will need to review the information provided in this Section 3.17 and, where applicable, declare consent to the processing and/or transfer of personal data as described below.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i/>
          <w:color w:val="000000"/>
          <w:sz w:val="24"/>
          <w:u w:val="single"/>
        </w:rPr>
        <w:t>EEA+ Controller and Representative</w:t>
      </w:r>
      <w:r>
        <w:rPr>
          <w:rFonts w:ascii="Times New Roman;serif" w:hAnsi="Times New Roman;serif"/>
          <w:b/>
          <w:i/>
          <w:color w:val="000000"/>
          <w:sz w:val="24"/>
        </w:rPr>
        <w:t>. If Participant is based in the European Union, the European Economic Area or the United Kingdom (collectively “</w:t>
      </w:r>
      <w:r>
        <w:rPr>
          <w:rFonts w:ascii="Times New Roman;serif" w:hAnsi="Times New Roman;serif"/>
          <w:b/>
          <w:i/>
          <w:color w:val="000000"/>
          <w:sz w:val="24"/>
          <w:u w:val="single"/>
        </w:rPr>
        <w:t>EEA+</w:t>
      </w:r>
      <w:r>
        <w:rPr>
          <w:color w:val="000000"/>
        </w:rPr>
        <w:t>”</w:t>
      </w:r>
      <w:r>
        <w:rPr>
          <w:rFonts w:ascii="Times New Roman;serif" w:hAnsi="Times New Roman;serif"/>
          <w:b/>
          <w:i/>
          <w:color w:val="000000"/>
          <w:sz w:val="24"/>
        </w:rPr>
        <w:t>), Participant should note that the Company, with its registered address at 1020 Kifer Road, Sunnyvale, California 94086, United States of America, is the controller responsible for the processing of Participant’s personal data in connection with the Agreement and the Plan. The Company is represented in the EEA+ by Intuitive Surgical SAS, Cité de la Photonique, bâtiment Gienah, 11 avenue de Canteranne, 33600 Pessac, France.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i/>
          <w:color w:val="000000"/>
          <w:sz w:val="24"/>
          <w:u w:val="single"/>
        </w:rPr>
        <w:t>Data Collection and Usage</w:t>
      </w:r>
      <w:r>
        <w:rPr>
          <w:rFonts w:ascii="Times New Roman;serif" w:hAnsi="Times New Roman;serif"/>
          <w:b/>
          <w:i/>
          <w:color w:val="000000"/>
          <w:sz w:val="24"/>
        </w:rPr>
        <w:t>. The Company collects, uses and otherwise processes certain personal data about Participant, including but not limited to, Participant’s name, home address and telephone number, email address, date of birth, social insurance number, passport or other identification number, salary, nationality, job title, any Stock or directorships held in the Company, details of all PSUs granted under the Plan or other entitlement to Shares awarded, canceled, exercised, vested, unvested or outstanding in Participant’s favor, which the Company receives from Participant, the Employer or otherwise in connection with this Agreement or the Plan (“</w:t>
      </w:r>
      <w:r>
        <w:rPr>
          <w:rFonts w:ascii="Times New Roman;serif" w:hAnsi="Times New Roman;serif"/>
          <w:b/>
          <w:i/>
          <w:color w:val="000000"/>
          <w:sz w:val="24"/>
          <w:u w:val="single"/>
        </w:rPr>
        <w:t>Data</w:t>
      </w:r>
      <w:r>
        <w:rPr>
          <w:color w:val="000000"/>
        </w:rPr>
        <w:t>”</w:t>
      </w:r>
      <w:r>
        <w:rPr>
          <w:rFonts w:ascii="Times New Roman;serif" w:hAnsi="Times New Roman;serif"/>
          <w:b/>
          <w:i/>
          <w:color w:val="000000"/>
          <w:sz w:val="24"/>
        </w:rPr>
        <w:t>), for the legitimate purposes of implementing, administering and managing the Plan and allocating shares of Stock pursuant to the Plan.</w:t>
      </w:r>
    </w:p>
    <w:p>
      <w:pPr>
        <w:pStyle w:val="TextBody"/>
        <w:bidi w:val="0"/>
        <w:spacing w:lineRule="auto" w:line="288" w:before="0" w:after="240"/>
        <w:ind w:left="0" w:right="0" w:firstLine="1620"/>
        <w:jc w:val="both"/>
        <w:rPr/>
      </w:pPr>
      <w:r>
        <w:rPr>
          <w:rFonts w:ascii="Times New Roman;serif" w:hAnsi="Times New Roman;serif"/>
          <w:b w:val="false"/>
          <w:color w:val="000000"/>
          <w:sz w:val="24"/>
        </w:rPr>
        <w:t>(c)</w:t>
      </w:r>
      <w:r>
        <w:rPr>
          <w:rFonts w:ascii="Times New Roman;serif" w:hAnsi="Times New Roman;serif"/>
          <w:b/>
          <w:i/>
          <w:color w:val="000000"/>
          <w:sz w:val="24"/>
        </w:rPr>
        <w:t xml:space="preserve">If Participant is based in the EEA+, the legal basis, where required, for the processing of Data by the Company is the necessity of the Data processing for the Company’s performance of its obligations under the Plan, and where applicable, the Company’s legitimate interest of complying with contractual or other statutory obligations to which it is subject. </w:t>
      </w:r>
    </w:p>
    <w:p>
      <w:pPr>
        <w:pStyle w:val="TextBody"/>
        <w:bidi w:val="0"/>
        <w:spacing w:lineRule="auto" w:line="288" w:before="0" w:after="240"/>
        <w:ind w:left="0" w:right="0" w:firstLine="900"/>
        <w:jc w:val="both"/>
        <w:rPr/>
      </w:pPr>
      <w:r>
        <w:rPr>
          <w:rFonts w:ascii="Times New Roman;serif" w:hAnsi="Times New Roman;serif"/>
          <w:b w:val="false"/>
          <w:color w:val="000000"/>
          <w:sz w:val="24"/>
        </w:rPr>
        <w:t>3.18</w:t>
      </w:r>
      <w:r>
        <w:rPr>
          <w:color w:val="000000"/>
        </w:rPr>
        <w:t>    </w:t>
      </w:r>
      <w:r>
        <w:rPr>
          <w:rFonts w:ascii="Times New Roman;serif" w:hAnsi="Times New Roman;serif"/>
          <w:b/>
          <w:i/>
          <w:color w:val="000000"/>
          <w:sz w:val="24"/>
        </w:rPr>
        <w:t xml:space="preserve">If Participant is based outside of the EEA+, the Company’s legal basis for the processing of Data is Participant’s consent, as further described below.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i/>
          <w:color w:val="000000"/>
          <w:sz w:val="24"/>
          <w:u w:val="single"/>
        </w:rPr>
        <w:t>Stock Plan Administration Service Providers</w:t>
      </w:r>
      <w:r>
        <w:rPr>
          <w:rFonts w:ascii="Times New Roman;serif" w:hAnsi="Times New Roman;serif"/>
          <w:b/>
          <w:i/>
          <w:color w:val="000000"/>
          <w:sz w:val="24"/>
        </w:rPr>
        <w:t>: The Company transfers Data to E*TRADE Financial Services, Inc. and certain of its affiliated companies (the “</w:t>
      </w:r>
      <w:r>
        <w:rPr>
          <w:rFonts w:ascii="Times New Roman;serif" w:hAnsi="Times New Roman;serif"/>
          <w:b/>
          <w:i/>
          <w:color w:val="000000"/>
          <w:sz w:val="24"/>
          <w:u w:val="single"/>
        </w:rPr>
        <w:t>Designated Broker</w:t>
      </w:r>
      <w:r>
        <w:rPr>
          <w:color w:val="000000"/>
        </w:rPr>
        <w:t>”</w:t>
      </w:r>
      <w:r>
        <w:rPr>
          <w:rFonts w:ascii="Times New Roman;serif" w:hAnsi="Times New Roman;serif"/>
          <w:b/>
          <w:i/>
          <w:color w:val="000000"/>
          <w:sz w:val="24"/>
        </w:rPr>
        <w:t xml:space="preserve">), an independent service provider based in the United States, which is assisting the Company with the implementation, administration and management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67665"/>
                <wp:effectExtent l="0" t="0" r="0" b="0"/>
                <wp:wrapNone/>
                <wp:docPr id="163" name="Frame16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Plan. In the future, the Company may select a different service provider and share Data with such other provider serving in a similar manner. The Designated Broker may open an account for Participant to receive and trade Shares acquired under the Plan. Participant may be asked to agree on separate terms and data processing practices with the Designated Broker, with such agreement being a condition to the ability to participate in the Plan.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i/>
          <w:color w:val="000000"/>
          <w:sz w:val="24"/>
          <w:u w:val="single"/>
        </w:rPr>
        <w:t>International Data Transfers</w:t>
      </w:r>
      <w:r>
        <w:rPr>
          <w:rFonts w:ascii="Times New Roman;serif" w:hAnsi="Times New Roman;serif"/>
          <w:b/>
          <w:i/>
          <w:color w:val="000000"/>
          <w:sz w:val="24"/>
        </w:rPr>
        <w:t xml:space="preserve">: The Company and the Designated Broker are based in the United States, which means that it will be necessary for Data to be transferred to, and processed in, the United States. Participant should note that his or her country may have enacted data privacy laws that are different from the United States. For example, Participant understands and acknowledges that the United States is not subject to an unlimited adequacy finding by the European Commission and that Participant’s Data may not have an equivalent level of protection as compared to Participant’s country of residence. </w:t>
      </w:r>
    </w:p>
    <w:p>
      <w:pPr>
        <w:pStyle w:val="TextBody"/>
        <w:bidi w:val="0"/>
        <w:spacing w:lineRule="auto" w:line="288" w:before="0" w:after="240"/>
        <w:ind w:left="0" w:right="0" w:firstLine="900"/>
        <w:jc w:val="both"/>
        <w:rPr/>
      </w:pPr>
      <w:r>
        <w:rPr>
          <w:rFonts w:ascii="Times New Roman;serif" w:hAnsi="Times New Roman;serif"/>
          <w:b w:val="false"/>
          <w:color w:val="000000"/>
          <w:sz w:val="24"/>
        </w:rPr>
        <w:t>3.19</w:t>
      </w:r>
      <w:r>
        <w:rPr>
          <w:rFonts w:ascii="Times New Roman;serif" w:hAnsi="Times New Roman;serif"/>
          <w:b/>
          <w:i/>
          <w:color w:val="000000"/>
          <w:sz w:val="24"/>
        </w:rPr>
        <w:t>The onward transfer of Data from the Company to the Designated Broker or, as the case may be, a different service provider of the Company is based solely on Participant’s consent, as further described below.</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i/>
          <w:color w:val="000000"/>
          <w:sz w:val="24"/>
        </w:rPr>
        <w:t xml:space="preserve">If Participant is based outside of the EEA+, Data will be transferred from Participant’s jurisdiction to the Company and onward from the Company to any of its service providers based on Participant’s consent, as further described below.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i/>
          <w:color w:val="000000"/>
          <w:sz w:val="24"/>
          <w:u w:val="single"/>
        </w:rPr>
        <w:t>Data Retention</w:t>
      </w:r>
      <w:r>
        <w:rPr>
          <w:rFonts w:ascii="Times New Roman;serif" w:hAnsi="Times New Roman;serif"/>
          <w:b/>
          <w:i/>
          <w:color w:val="000000"/>
          <w:sz w:val="24"/>
        </w:rPr>
        <w:t xml:space="preserve">: The Company will hold and use the Data only as long as is necessary to implement, administer and manage Participant’s participation in the Plan, or as required to comply with legal or regulatory obligations, including under tax, exchange control, securities and labor laws.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i/>
          <w:color w:val="000000"/>
          <w:sz w:val="24"/>
          <w:u w:val="single"/>
        </w:rPr>
        <w:t>Data Subject Rights</w:t>
      </w:r>
      <w:r>
        <w:rPr>
          <w:rFonts w:ascii="Times New Roman;serif" w:hAnsi="Times New Roman;serif"/>
          <w:b/>
          <w:i/>
          <w:color w:val="000000"/>
          <w:sz w:val="24"/>
        </w:rPr>
        <w:t>: Participant may have a number of rights under data privacy laws in Participant’s jurisdiction. Depending on where Participant is based, such rights may include the right to (i) request access to or copies of Data the Company processes, (ii) rectify incorrect Data, (iii) delete Data, (iv) restrict the processing of Data, (v) object to the processing of Data for legitimate interests, (vi) restrict the portability of Data, and/or (vii) lodge complaints with competent authorities in Participant’s jurisdiction. To receive additional information regarding these rights or to exercise these rights, Participant can contact the Company’s global privacy officer at data.privacy@intusurg.com.</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i/>
          <w:color w:val="000000"/>
          <w:sz w:val="24"/>
          <w:u w:val="single"/>
        </w:rPr>
        <w:t>Necessary Disclosure of Personal Data</w:t>
      </w:r>
      <w:r>
        <w:rPr>
          <w:rFonts w:ascii="Times New Roman;serif" w:hAnsi="Times New Roman;serif"/>
          <w:b/>
          <w:i/>
          <w:color w:val="000000"/>
          <w:sz w:val="24"/>
        </w:rPr>
        <w:t xml:space="preserve">. Participant understands that providing the Company with Data is necessary for the performance of the Agreement and that Participant’s refusal to provide Data would make it impossible for the Company to perform its contractual obligations and may affect Participant’s ability to participate in the Plan. </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i/>
          <w:color w:val="000000"/>
          <w:sz w:val="24"/>
          <w:u w:val="single"/>
        </w:rPr>
        <w:t>Voluntariness and Consequences of Consent Denial or Withdrawal</w:t>
      </w:r>
      <w:r>
        <w:rPr>
          <w:rFonts w:ascii="Times New Roman;serif" w:hAnsi="Times New Roman;serif"/>
          <w:b/>
          <w:i/>
          <w:color w:val="000000"/>
          <w:sz w:val="24"/>
        </w:rPr>
        <w:t xml:space="preserve">: Participation in the Plan is voluntary and Participant is providing the consents herein on a voluntary basis. Participant understands that he or she may request to stop the transfer and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67665"/>
                <wp:effectExtent l="0" t="0" r="0" b="0"/>
                <wp:wrapNone/>
                <wp:docPr id="164" name="Frame16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i/>
          <w:color w:val="000000"/>
          <w:sz w:val="24"/>
        </w:rPr>
      </w:pPr>
      <w:r>
        <w:rPr>
          <w:rFonts w:ascii="Times New Roman;serif" w:hAnsi="Times New Roman;serif"/>
          <w:b/>
          <w:i/>
          <w:color w:val="000000"/>
          <w:sz w:val="24"/>
        </w:rPr>
        <w:t>processing of the Data for purposes of participation in the Plan and that Participant’s compensation from or employment relationship with the Employer will not be affected. The only consequence of refusing or withdrawing consent is that the Company would not be able to allow Participant to participate in the Plan. Participant understands that the Data will still be processed in relation to his or her employment or service relationship and for record-keeping purposes. For more information on the consequences of refusal to consent or withdrawal of consent, Participant should contact the Company’s global privacy officer at data.privacy@intusurg.com.</w:t>
      </w:r>
    </w:p>
    <w:p>
      <w:pPr>
        <w:pStyle w:val="TextBody"/>
        <w:bidi w:val="0"/>
        <w:spacing w:lineRule="auto" w:line="288" w:before="0" w:after="240"/>
        <w:ind w:left="0" w:right="0" w:firstLine="720"/>
        <w:jc w:val="both"/>
        <w:rPr/>
      </w:pPr>
      <w:r>
        <w:rPr>
          <w:rFonts w:ascii="Times New Roman;serif" w:hAnsi="Times New Roman;serif"/>
          <w:b w:val="false"/>
          <w:color w:val="000000"/>
          <w:sz w:val="24"/>
        </w:rPr>
        <w:t>3.20</w:t>
      </w:r>
      <w:r>
        <w:rPr>
          <w:rFonts w:ascii="Times New Roman;serif" w:hAnsi="Times New Roman;serif"/>
          <w:b/>
          <w:i/>
          <w:color w:val="000000"/>
          <w:sz w:val="24"/>
          <w:u w:val="single"/>
        </w:rPr>
        <w:t>Declaration of Consent</w:t>
      </w:r>
      <w:r>
        <w:rPr>
          <w:rFonts w:ascii="Times New Roman;serif" w:hAnsi="Times New Roman;serif"/>
          <w:b/>
          <w:i/>
          <w:color w:val="000000"/>
          <w:sz w:val="24"/>
        </w:rPr>
        <w:t xml:space="preserve">. If Participant is based in the EEA+, by accepting the PSUs and indicating consent by signing the Grant Notice or through the Company’s online acceptance procedure, Participant explicitly declares his or her consent to the onward transfer of Data by the Company to the Designated Broker or, as the case may be, a different service provider of the Company in the U.S. as described above. </w:t>
      </w:r>
    </w:p>
    <w:p>
      <w:pPr>
        <w:pStyle w:val="TextBody"/>
        <w:bidi w:val="0"/>
        <w:spacing w:lineRule="auto" w:line="288" w:before="0" w:after="240"/>
        <w:ind w:left="0" w:right="0" w:firstLine="900"/>
        <w:jc w:val="both"/>
        <w:rPr/>
      </w:pPr>
      <w:r>
        <w:rPr>
          <w:rFonts w:ascii="Times New Roman;serif" w:hAnsi="Times New Roman;serif"/>
          <w:b w:val="false"/>
          <w:color w:val="000000"/>
          <w:sz w:val="24"/>
        </w:rPr>
        <w:t>3.21</w:t>
      </w:r>
      <w:r>
        <w:rPr>
          <w:rFonts w:ascii="Times New Roman;serif" w:hAnsi="Times New Roman;serif"/>
          <w:b/>
          <w:i/>
          <w:color w:val="000000"/>
          <w:sz w:val="24"/>
        </w:rPr>
        <w:t>If Participant is based outside of the EEA+, by accepting the PSUs and indicating consent by signing the Grant Notice or through the Company’s online acceptance procedure, Participant explicitly declares his or her consent to the entirety of the Data processing operations described above including, without limitation, the onward transfer of Data by the Company to the Designated Broker or, as the case may be, a different service provider of the Company in the U.S.</w:t>
      </w:r>
    </w:p>
    <w:p>
      <w:pPr>
        <w:pStyle w:val="TextBody"/>
        <w:bidi w:val="0"/>
        <w:spacing w:lineRule="auto" w:line="288" w:before="0" w:after="240"/>
        <w:ind w:left="0" w:right="0" w:firstLine="720"/>
        <w:jc w:val="both"/>
        <w:rPr/>
      </w:pPr>
      <w:r>
        <w:rPr>
          <w:rFonts w:ascii="Times New Roman;serif" w:hAnsi="Times New Roman;serif"/>
          <w:b w:val="false"/>
          <w:color w:val="000000"/>
          <w:sz w:val="24"/>
        </w:rPr>
        <w:t>3.22</w:t>
      </w:r>
      <w:r>
        <w:rPr>
          <w:rFonts w:ascii="Times New Roman;serif" w:hAnsi="Times New Roman;serif"/>
          <w:b w:val="false"/>
          <w:color w:val="000000"/>
          <w:sz w:val="24"/>
          <w:u w:val="single"/>
        </w:rPr>
        <w:t>Clawback</w:t>
      </w:r>
      <w:r>
        <w:rPr>
          <w:rFonts w:ascii="Times New Roman;serif" w:hAnsi="Times New Roman;serif"/>
          <w:b w:val="false"/>
          <w:color w:val="000000"/>
          <w:sz w:val="24"/>
        </w:rPr>
        <w:t>. All awards will be subject to recoupment by the Company to the extent required to comply with applicable law or any policy of the Company providing for the reimbursement of incentive compensation, whether or not such policy is in place at the time of grant or payment of the award.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3.23</w:t>
      </w:r>
      <w:r>
        <w:rPr>
          <w:rFonts w:ascii="Times New Roman;serif" w:hAnsi="Times New Roman;serif"/>
          <w:b w:val="false"/>
          <w:color w:val="000000"/>
          <w:sz w:val="24"/>
          <w:u w:val="single"/>
        </w:rPr>
        <w:t>Foreign Asset/Account Reporting Notification</w:t>
      </w:r>
      <w:r>
        <w:rPr>
          <w:rFonts w:ascii="Times New Roman;serif" w:hAnsi="Times New Roman;serif"/>
          <w:b w:val="false"/>
          <w:color w:val="000000"/>
          <w:sz w:val="24"/>
        </w:rPr>
        <w:t>. The Participant understands that the Participant’s country may have certain exchange control and/or foreign asset/account reporting requirements which may affect the Participant’s ability to hold Shares received from the PSUs in a brokerage or bank account outside of the Participant’s country. The Participant may be required to report such accounts, assets or transactions to the tax or other authorities in the Participant’s country. The Participant acknowledges that it is the Participant’s responsibility to comply with any applicable regulations, and the Participant should speak to the Participant’s personal advisor on this matter.</w:t>
      </w:r>
    </w:p>
    <w:p>
      <w:pPr>
        <w:pStyle w:val="TextBody"/>
        <w:bidi w:val="0"/>
        <w:spacing w:lineRule="auto" w:line="288" w:before="0" w:after="240"/>
        <w:ind w:left="0" w:right="0" w:firstLine="720"/>
        <w:jc w:val="both"/>
        <w:rPr/>
      </w:pPr>
      <w:r>
        <w:rPr>
          <w:rFonts w:ascii="Times New Roman;serif" w:hAnsi="Times New Roman;serif"/>
          <w:b w:val="false"/>
          <w:color w:val="000000"/>
          <w:sz w:val="24"/>
        </w:rPr>
        <w:t>3.24</w:t>
      </w:r>
      <w:r>
        <w:rPr>
          <w:rFonts w:ascii="Times New Roman;serif" w:hAnsi="Times New Roman;serif"/>
          <w:b w:val="false"/>
          <w:color w:val="000000"/>
          <w:sz w:val="24"/>
          <w:u w:val="single"/>
        </w:rPr>
        <w:t>Additional Acknowledgement</w:t>
      </w:r>
      <w:r>
        <w:rPr>
          <w:rFonts w:ascii="Times New Roman;serif" w:hAnsi="Times New Roman;serif"/>
          <w:b w:val="false"/>
          <w:color w:val="000000"/>
          <w:sz w:val="24"/>
        </w:rPr>
        <w:t>. The Participant acknowledges that for employment law purposes outside the United States, the PSUs and the income from and value of same are not part of normal or expected compensation or salary for any purpose, including but not limited to for purposes of calculating any severance, resignation, termination, redundancy, dismissal, end of service payments, bonuses, holiday pay, long-service awards, pension or retirement benefits or similar mandatory payments.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19</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67665"/>
                <wp:effectExtent l="0" t="0" r="0" b="0"/>
                <wp:wrapNone/>
                <wp:docPr id="165" name="Frame16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INTUITIVE SURGICAL,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INSIDER TRADING POLICY AND GUIDELINES</w:t>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As Amended and Restated on January 29, 2026.</w:t>
      </w:r>
    </w:p>
    <w:p>
      <w:pPr>
        <w:pStyle w:val="TextBody"/>
        <w:bidi w:val="0"/>
        <w:spacing w:before="0" w:after="160"/>
        <w:jc w:val="left"/>
        <w:rPr/>
      </w:pPr>
      <w:r>
        <w:rPr/>
      </w:r>
    </w:p>
    <w:p>
      <w:pPr>
        <w:pStyle w:val="TextBody"/>
        <w:bidi w:val="0"/>
        <w:spacing w:lineRule="auto" w:line="300" w:before="0" w:after="160"/>
        <w:jc w:val="left"/>
        <w:rPr/>
      </w:pPr>
      <w:r>
        <w:rPr>
          <w:rFonts w:ascii="sans-serif" w:hAnsi="sans-serif"/>
          <w:b/>
          <w:color w:val="FFFFFF"/>
          <w:sz w:val="22"/>
          <w:shd w:fill="1C23BA" w:val="clear"/>
        </w:rPr>
        <w:t>Purpose</w:t>
      </w:r>
      <w:r>
        <w:rPr>
          <w:color w:val="16459A"/>
        </w:rPr>
        <w:t>    </w:t>
      </w:r>
    </w:p>
    <w:p>
      <w:pPr>
        <w:pStyle w:val="TextBody"/>
        <w:bidi w:val="0"/>
        <w:spacing w:lineRule="auto" w:line="300" w:before="0" w:after="160"/>
        <w:jc w:val="left"/>
        <w:rPr/>
      </w:pPr>
      <w:r>
        <w:rPr>
          <w:rFonts w:ascii="sans-serif" w:hAnsi="sans-serif"/>
          <w:b w:val="false"/>
          <w:color w:val="000000"/>
          <w:sz w:val="22"/>
        </w:rPr>
        <w:t>This Insider Trading Policy and Guidelines (the “</w:t>
      </w:r>
      <w:r>
        <w:rPr>
          <w:rFonts w:ascii="sans-serif" w:hAnsi="sans-serif"/>
          <w:b/>
          <w:color w:val="000000"/>
          <w:sz w:val="22"/>
        </w:rPr>
        <w:t>Policy</w:t>
      </w:r>
      <w:r>
        <w:rPr>
          <w:color w:val="000000"/>
        </w:rPr>
        <w:t>”</w:t>
      </w:r>
      <w:r>
        <w:rPr>
          <w:rFonts w:ascii="sans-serif" w:hAnsi="sans-serif"/>
          <w:b w:val="false"/>
          <w:color w:val="000000"/>
          <w:sz w:val="22"/>
        </w:rPr>
        <w:t>) summarizes the insider trading rules and explains how Insiders may engage in Securities Transactions, so they are in compliance with the laws prohibiting insider trading. This Policy also described the consequences of violating insider trading laws.</w:t>
      </w:r>
    </w:p>
    <w:p>
      <w:pPr>
        <w:pStyle w:val="TextBody"/>
        <w:bidi w:val="0"/>
        <w:spacing w:lineRule="auto" w:line="300" w:before="0" w:after="160"/>
        <w:jc w:val="left"/>
        <w:rPr/>
      </w:pPr>
      <w:r>
        <w:rPr>
          <w:rFonts w:ascii="sans-serif" w:hAnsi="sans-serif"/>
          <w:b/>
          <w:color w:val="FFFFFF"/>
          <w:sz w:val="22"/>
          <w:shd w:fill="1C23BA" w:val="clear"/>
        </w:rPr>
        <w:t>Scope</w:t>
      </w:r>
      <w:r>
        <w:rPr>
          <w:color w:val="FFFFFF"/>
        </w:rPr>
        <w:t>    </w:t>
      </w:r>
    </w:p>
    <w:p>
      <w:pPr>
        <w:pStyle w:val="TextBody"/>
        <w:bidi w:val="0"/>
        <w:spacing w:lineRule="auto" w:line="300" w:before="0" w:after="160"/>
        <w:ind w:left="0" w:right="0" w:hanging="2160"/>
        <w:jc w:val="left"/>
        <w:rPr>
          <w:rFonts w:ascii="sans-serif" w:hAnsi="sans-serif"/>
          <w:b w:val="false"/>
          <w:color w:val="000000"/>
          <w:sz w:val="22"/>
        </w:rPr>
      </w:pPr>
      <w:r>
        <w:rPr>
          <w:rFonts w:ascii="sans-serif" w:hAnsi="sans-serif"/>
          <w:b w:val="false"/>
          <w:color w:val="000000"/>
          <w:sz w:val="22"/>
        </w:rPr>
        <w:t>This Policy applies to all Insiders of the Company.</w:t>
      </w:r>
    </w:p>
    <w:p>
      <w:pPr>
        <w:pStyle w:val="TextBody"/>
        <w:bidi w:val="0"/>
        <w:spacing w:lineRule="auto" w:line="300" w:before="0" w:after="160"/>
        <w:jc w:val="left"/>
        <w:rPr/>
      </w:pPr>
      <w:r>
        <w:rPr>
          <w:rFonts w:ascii="sans-serif" w:hAnsi="sans-serif"/>
          <w:b/>
          <w:color w:val="FFFFFF"/>
          <w:sz w:val="22"/>
          <w:shd w:fill="1C23BA" w:val="clear"/>
        </w:rPr>
        <w:t>Policy</w:t>
      </w:r>
      <w:r>
        <w:rPr>
          <w:color w:val="16459A"/>
        </w:rPr>
        <w:t>    </w:t>
      </w:r>
    </w:p>
    <w:p>
      <w:pPr>
        <w:pStyle w:val="TextBody"/>
        <w:bidi w:val="0"/>
        <w:spacing w:lineRule="auto" w:line="300" w:before="0" w:after="160"/>
        <w:ind w:left="0" w:right="0" w:hanging="1440"/>
        <w:jc w:val="left"/>
        <w:rPr/>
      </w:pPr>
      <w:r>
        <w:rPr>
          <w:rFonts w:ascii="sans-serif" w:hAnsi="sans-serif"/>
          <w:b w:val="false"/>
          <w:color w:val="000000"/>
          <w:sz w:val="22"/>
        </w:rPr>
        <w:t>Definitions    “</w:t>
      </w:r>
      <w:r>
        <w:rPr>
          <w:rFonts w:ascii="sans-serif" w:hAnsi="sans-serif"/>
          <w:b/>
          <w:color w:val="000000"/>
          <w:sz w:val="22"/>
        </w:rPr>
        <w:t>Company</w:t>
      </w:r>
      <w:r>
        <w:rPr>
          <w:color w:val="000000"/>
        </w:rPr>
        <w:t xml:space="preserve">” </w:t>
      </w:r>
      <w:r>
        <w:rPr>
          <w:rFonts w:ascii="sans-serif" w:hAnsi="sans-serif"/>
          <w:b w:val="false"/>
          <w:color w:val="000000"/>
          <w:sz w:val="22"/>
        </w:rPr>
        <w:t>means Intuitive Surgical, Inc. and is inclusive of its subsidiaries and affiliates.</w:t>
      </w:r>
    </w:p>
    <w:p>
      <w:pPr>
        <w:pStyle w:val="TextBody"/>
        <w:bidi w:val="0"/>
        <w:spacing w:lineRule="auto" w:line="300" w:before="0" w:after="160"/>
        <w:jc w:val="left"/>
        <w:rPr/>
      </w:pPr>
      <w:r>
        <w:rPr>
          <w:color w:val="000000"/>
        </w:rPr>
        <w:t>“</w:t>
      </w:r>
      <w:r>
        <w:rPr>
          <w:rFonts w:ascii="sans-serif" w:hAnsi="sans-serif"/>
          <w:b/>
          <w:color w:val="000000"/>
          <w:sz w:val="22"/>
        </w:rPr>
        <w:t>Insiders</w:t>
      </w:r>
      <w:r>
        <w:rPr>
          <w:color w:val="000000"/>
        </w:rPr>
        <w:t xml:space="preserve">” </w:t>
      </w:r>
      <w:r>
        <w:rPr>
          <w:rFonts w:ascii="sans-serif" w:hAnsi="sans-serif"/>
          <w:b w:val="false"/>
          <w:color w:val="000000"/>
          <w:sz w:val="22"/>
        </w:rPr>
        <w:t>means: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employees of the Company;</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members of the Board of Directors;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certain specified consultants and contractors of the Company, as identified by the Trading Compliance Officer from time to time (“</w:t>
      </w:r>
      <w:r>
        <w:rPr>
          <w:rFonts w:ascii="sans-serif" w:hAnsi="sans-serif"/>
          <w:b/>
          <w:color w:val="000000"/>
          <w:sz w:val="22"/>
        </w:rPr>
        <w:t>Insider Consultants</w:t>
      </w:r>
      <w:r>
        <w:rPr>
          <w:color w:val="000000"/>
        </w:rPr>
        <w:t>”</w:t>
      </w:r>
      <w:r>
        <w:rPr>
          <w:rFonts w:ascii="sans-serif" w:hAnsi="sans-serif"/>
          <w:b w:val="false"/>
          <w:color w:val="000000"/>
          <w:sz w:val="22"/>
        </w:rPr>
        <w:t xml:space="preserve">); </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spouses, domestic partners, dependents and members of the household of employees, members of the Board of Directors, and Insider Consultants; and</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anyone whose Restricted Transactions are directed or influenced by employees of the Company, members of the Board of Directors, or Insider Consultants.</w:t>
      </w:r>
    </w:p>
    <w:p>
      <w:pPr>
        <w:pStyle w:val="TextBody"/>
        <w:bidi w:val="0"/>
        <w:spacing w:lineRule="auto" w:line="300" w:before="0" w:after="160"/>
        <w:jc w:val="left"/>
        <w:rPr/>
      </w:pPr>
      <w:r>
        <w:rPr>
          <w:color w:val="000000"/>
        </w:rPr>
        <w:t>“</w:t>
      </w:r>
      <w:r>
        <w:rPr>
          <w:rFonts w:ascii="sans-serif" w:hAnsi="sans-serif"/>
          <w:b/>
          <w:color w:val="000000"/>
          <w:sz w:val="22"/>
        </w:rPr>
        <w:t>Material Non-Public Information</w:t>
      </w:r>
      <w:r>
        <w:rPr>
          <w:color w:val="000000"/>
        </w:rPr>
        <w:t xml:space="preserve">” </w:t>
      </w:r>
      <w:r>
        <w:rPr>
          <w:rFonts w:ascii="sans-serif" w:hAnsi="sans-serif"/>
          <w:b w:val="false"/>
          <w:color w:val="000000"/>
          <w:sz w:val="22"/>
        </w:rPr>
        <w:t xml:space="preserve">means any information, favorable, non-favorable or otherwise, that a reasonable investor would consider important in making a decision to evaluate, purchase, hold or sell the securities of a Restricted Company and which has not been publicly disclosed by the Restricted Company. Some examples of material information </w:t>
      </w:r>
      <w:r>
        <w:rPr>
          <w:rFonts w:ascii="sans-serif" w:hAnsi="sans-serif"/>
          <w:b/>
          <w:i/>
          <w:color w:val="000000"/>
          <w:sz w:val="22"/>
        </w:rPr>
        <w:t>can</w:t>
      </w:r>
      <w:r>
        <w:rPr>
          <w:color w:val="000000"/>
        </w:rPr>
        <w:t xml:space="preserve"> </w:t>
      </w:r>
      <w:r>
        <w:rPr>
          <w:rFonts w:ascii="sans-serif" w:hAnsi="sans-serif"/>
          <w:b w:val="false"/>
          <w:color w:val="000000"/>
          <w:sz w:val="22"/>
        </w:rPr>
        <w:t>include:</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projections of future earnings or losses;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news of a pending or proposed merger, acquisition, joint venture or tender offer;</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news of a significant sale or purchase of assets, including shares of a subsidiary;</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changes in dividend policies, adoption or termination of new share repurchase programs, the declaration of a stock split or the offering of additional securities;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changes in, or initiation of, material litigation matters;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changes in management or the Board of Directors;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significant milestone achievements or non-achievements;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significant new products or discoveries or delays in significant new product introduction or development;</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70205"/>
                <wp:effectExtent l="0" t="0" r="0" b="0"/>
                <wp:wrapNone/>
                <wp:docPr id="166" name="Frame164"/>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significant information relating to product safety;</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significant developments with respect to licenses, contracts or intellectual property matters;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significant regulatory actions concerning products or potential products;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potential bankruptcy or financial liquidity problems;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the gain or loss of a substantial customer, supplier, collaborator or partner;</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discoveries, or grants or allowances or disallowances of patents;</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plans to raise additional capital through sales of equity or debt or otherwise;</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results of product trials; and</w:t>
      </w:r>
    </w:p>
    <w:p>
      <w:pPr>
        <w:pStyle w:val="TextBody"/>
        <w:bidi w:val="0"/>
        <w:spacing w:lineRule="auto" w:line="288" w:before="0" w:after="160"/>
        <w:ind w:left="0" w:right="0" w:hanging="360"/>
        <w:jc w:val="left"/>
        <w:rPr/>
      </w:pPr>
      <w:r>
        <w:rPr>
          <w:color w:val="000000"/>
        </w:rPr>
        <w:t>•</w:t>
      </w:r>
      <w:r>
        <w:rPr>
          <w:rFonts w:ascii="sans-serif" w:hAnsi="sans-serif"/>
          <w:b w:val="false"/>
          <w:color w:val="000000"/>
          <w:sz w:val="22"/>
        </w:rPr>
        <w:t>any other important information, which could reasonably affect the price of any publicly traded securities of the Restricted Companies.</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 xml:space="preserve">The above list is not exhaustive but provides examples, and in some cases such information may not necessarily be material. Every situation should be carefully evaluated on its own merits. </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If an Insider is uncertain as to whether information is Material Non-Public Information, such Insider should address his/her questions with the Trading Compliance Officer before entering into a Restricted Transaction.</w:t>
      </w:r>
    </w:p>
    <w:p>
      <w:pPr>
        <w:pStyle w:val="TextBody"/>
        <w:bidi w:val="0"/>
        <w:spacing w:lineRule="auto" w:line="300" w:before="0" w:after="160"/>
        <w:jc w:val="left"/>
        <w:rPr/>
      </w:pPr>
      <w:r>
        <w:rPr>
          <w:color w:val="000000"/>
        </w:rPr>
        <w:t>“</w:t>
      </w:r>
      <w:r>
        <w:rPr>
          <w:rFonts w:ascii="sans-serif" w:hAnsi="sans-serif"/>
          <w:b/>
          <w:color w:val="000000"/>
          <w:sz w:val="22"/>
        </w:rPr>
        <w:t>Restricted Companies</w:t>
      </w:r>
      <w:r>
        <w:rPr>
          <w:color w:val="000000"/>
        </w:rPr>
        <w:t xml:space="preserve">” </w:t>
      </w:r>
      <w:r>
        <w:rPr>
          <w:rFonts w:ascii="sans-serif" w:hAnsi="sans-serif"/>
          <w:b w:val="false"/>
          <w:color w:val="000000"/>
          <w:sz w:val="22"/>
        </w:rPr>
        <w:t>include the Company, as well as all significant collaborators, customers, partners, suppliers, competitors and other companies about which Insiders may learn confidential information during the course of performing their duties for the Company.</w:t>
      </w:r>
    </w:p>
    <w:p>
      <w:pPr>
        <w:pStyle w:val="TextBody"/>
        <w:bidi w:val="0"/>
        <w:spacing w:lineRule="auto" w:line="300" w:before="0" w:after="160"/>
        <w:jc w:val="left"/>
        <w:rPr/>
      </w:pPr>
      <w:r>
        <w:rPr>
          <w:color w:val="000000"/>
        </w:rPr>
        <w:t>“</w:t>
      </w:r>
      <w:r>
        <w:rPr>
          <w:rFonts w:ascii="sans-serif" w:hAnsi="sans-serif"/>
          <w:b/>
          <w:color w:val="000000"/>
          <w:sz w:val="22"/>
        </w:rPr>
        <w:t>Restricted Transactions</w:t>
      </w:r>
      <w:r>
        <w:rPr>
          <w:color w:val="000000"/>
        </w:rPr>
        <w:t xml:space="preserve">” </w:t>
      </w:r>
      <w:r>
        <w:rPr>
          <w:rFonts w:ascii="sans-serif" w:hAnsi="sans-serif"/>
          <w:b w:val="false"/>
          <w:color w:val="000000"/>
          <w:sz w:val="22"/>
        </w:rPr>
        <w:t>include all Securities Transactions in the Restricted Companies, with the exception that neither (i) the cash-only exercise of stock options and holding of the underlying stock, nor (ii) purchase and hold of securities pursuant to the Company’s ESPP program, constitute a Restricted Transaction.</w:t>
      </w:r>
    </w:p>
    <w:p>
      <w:pPr>
        <w:pStyle w:val="TextBody"/>
        <w:bidi w:val="0"/>
        <w:spacing w:lineRule="auto" w:line="300" w:before="0" w:after="160"/>
        <w:jc w:val="left"/>
        <w:rPr/>
      </w:pPr>
      <w:r>
        <w:rPr>
          <w:color w:val="000000"/>
        </w:rPr>
        <w:t>“</w:t>
      </w:r>
      <w:r>
        <w:rPr>
          <w:rFonts w:ascii="sans-serif" w:hAnsi="sans-serif"/>
          <w:b/>
          <w:color w:val="000000"/>
          <w:sz w:val="22"/>
        </w:rPr>
        <w:t>Securities Transactions</w:t>
      </w:r>
      <w:r>
        <w:rPr>
          <w:color w:val="000000"/>
        </w:rPr>
        <w:t xml:space="preserve">” </w:t>
      </w:r>
      <w:r>
        <w:rPr>
          <w:rFonts w:ascii="sans-serif" w:hAnsi="sans-serif"/>
          <w:b w:val="false"/>
          <w:color w:val="000000"/>
          <w:sz w:val="22"/>
        </w:rPr>
        <w:t>include any purchase, sale or any other exchange of any kind in common stock, stock options for common stock and any other securities, such as sales of shares from the ESPP, as well as derivative securities, such as exchange-traded options; provided, that Securities Transactions shall not include the vesting or settlement of restricted stock units (“</w:t>
      </w:r>
      <w:r>
        <w:rPr>
          <w:rFonts w:ascii="sans-serif" w:hAnsi="sans-serif"/>
          <w:b/>
          <w:color w:val="000000"/>
          <w:sz w:val="22"/>
        </w:rPr>
        <w:t>RSUs</w:t>
      </w:r>
      <w:r>
        <w:rPr>
          <w:color w:val="000000"/>
        </w:rPr>
        <w:t>”</w:t>
      </w:r>
      <w:r>
        <w:rPr>
          <w:rFonts w:ascii="sans-serif" w:hAnsi="sans-serif"/>
          <w:b w:val="false"/>
          <w:color w:val="000000"/>
          <w:sz w:val="22"/>
        </w:rPr>
        <w:t>) or performance stock units (“</w:t>
      </w:r>
      <w:r>
        <w:rPr>
          <w:rFonts w:ascii="sans-serif" w:hAnsi="sans-serif"/>
          <w:b/>
          <w:color w:val="000000"/>
          <w:sz w:val="22"/>
        </w:rPr>
        <w:t>PSUs</w:t>
      </w:r>
      <w:r>
        <w:rPr>
          <w:color w:val="000000"/>
        </w:rPr>
        <w:t>”</w:t>
      </w:r>
      <w:r>
        <w:rPr>
          <w:rFonts w:ascii="sans-serif" w:hAnsi="sans-serif"/>
          <w:b w:val="false"/>
          <w:color w:val="000000"/>
          <w:sz w:val="22"/>
        </w:rPr>
        <w:t>).</w:t>
      </w:r>
    </w:p>
    <w:p>
      <w:pPr>
        <w:pStyle w:val="TextBody"/>
        <w:bidi w:val="0"/>
        <w:spacing w:lineRule="auto" w:line="300" w:before="0" w:after="160"/>
        <w:jc w:val="left"/>
        <w:rPr/>
      </w:pPr>
      <w:r>
        <w:rPr>
          <w:color w:val="000000"/>
        </w:rPr>
        <w:t>“</w:t>
      </w:r>
      <w:r>
        <w:rPr>
          <w:rFonts w:ascii="sans-serif" w:hAnsi="sans-serif"/>
          <w:b/>
          <w:color w:val="000000"/>
          <w:sz w:val="22"/>
        </w:rPr>
        <w:t>Trading Day</w:t>
      </w:r>
      <w:r>
        <w:rPr>
          <w:color w:val="000000"/>
        </w:rPr>
        <w:t xml:space="preserve">” </w:t>
      </w:r>
      <w:r>
        <w:rPr>
          <w:rFonts w:ascii="sans-serif" w:hAnsi="sans-serif"/>
          <w:b w:val="false"/>
          <w:color w:val="000000"/>
          <w:sz w:val="22"/>
        </w:rPr>
        <w:t>means a day when the Nasdaq Stock Market is open for trading.</w:t>
      </w:r>
    </w:p>
    <w:p>
      <w:pPr>
        <w:pStyle w:val="TextBody"/>
        <w:bidi w:val="0"/>
        <w:spacing w:lineRule="auto" w:line="300" w:before="0" w:after="160"/>
        <w:jc w:val="left"/>
        <w:rPr/>
      </w:pPr>
      <w:r>
        <w:rPr>
          <w:color w:val="000000"/>
        </w:rPr>
        <w:t>“</w:t>
      </w:r>
      <w:r>
        <w:rPr>
          <w:rFonts w:ascii="sans-serif" w:hAnsi="sans-serif"/>
          <w:b/>
          <w:color w:val="000000"/>
          <w:sz w:val="22"/>
        </w:rPr>
        <w:t>Trading Window</w:t>
      </w:r>
      <w:r>
        <w:rPr>
          <w:color w:val="000000"/>
        </w:rPr>
        <w:t xml:space="preserve">” </w:t>
      </w:r>
      <w:r>
        <w:rPr>
          <w:rFonts w:ascii="sans-serif" w:hAnsi="sans-serif"/>
          <w:b w:val="false"/>
          <w:color w:val="000000"/>
          <w:sz w:val="22"/>
        </w:rPr>
        <w:t>or “</w:t>
      </w:r>
      <w:r>
        <w:rPr>
          <w:rFonts w:ascii="sans-serif" w:hAnsi="sans-serif"/>
          <w:b/>
          <w:color w:val="000000"/>
          <w:sz w:val="22"/>
        </w:rPr>
        <w:t>Open Window Period</w:t>
      </w:r>
      <w:r>
        <w:rPr>
          <w:color w:val="000000"/>
        </w:rPr>
        <w:t xml:space="preserve">” </w:t>
      </w:r>
      <w:r>
        <w:rPr>
          <w:rFonts w:ascii="sans-serif" w:hAnsi="sans-serif"/>
          <w:b w:val="false"/>
          <w:color w:val="000000"/>
          <w:sz w:val="22"/>
        </w:rPr>
        <w:t>means the period of time during which Insiders may enter into Securities Transactions in securities of the Restricted Companies. All Insiders are subject to mandatory controls on the timing of purchases and sales of securities of the Company. Such transactions (other than purchases under the Company’s ESPP and a cash-only exercise of options) may only occur during four quarterly Open Window Periods (subject to applicable cooling off periods), which follow the publication of the Company’s financial results. The trading window opens on the third trading day after the Company’s quarterly earnings release. The trading window will close at market close on the 15</w:t>
      </w:r>
      <w:r>
        <w:rPr>
          <w:rFonts w:ascii="sans-serif" w:hAnsi="sans-serif"/>
          <w:b w:val="false"/>
          <w:color w:val="000000"/>
          <w:sz w:val="14"/>
        </w:rPr>
        <w:t>th</w:t>
      </w:r>
      <w:r>
        <w:rPr>
          <w:color w:val="000000"/>
        </w:rPr>
        <w:t xml:space="preserve"> </w:t>
      </w:r>
      <w:r>
        <w:rPr>
          <w:rFonts w:ascii="sans-serif" w:hAnsi="sans-serif"/>
          <w:b w:val="false"/>
          <w:color w:val="000000"/>
          <w:sz w:val="22"/>
        </w:rPr>
        <w:t>day in the last month of each quarter.</w:t>
      </w:r>
    </w:p>
    <w:p>
      <w:pPr>
        <w:pStyle w:val="TextBody"/>
        <w:bidi w:val="0"/>
        <w:spacing w:lineRule="auto" w:line="300" w:before="0" w:after="160"/>
        <w:ind w:left="0" w:right="0" w:hanging="1440"/>
        <w:jc w:val="left"/>
        <w:rPr>
          <w:rFonts w:ascii="sans-serif" w:hAnsi="sans-serif"/>
          <w:b w:val="false"/>
          <w:color w:val="000000"/>
          <w:sz w:val="22"/>
        </w:rPr>
      </w:pPr>
      <w:r>
        <w:rPr>
          <w:rFonts w:ascii="sans-serif" w:hAnsi="sans-serif"/>
          <w:b w:val="false"/>
          <w:color w:val="000000"/>
          <w:sz w:val="22"/>
        </w:rPr>
        <w:t xml:space="preserve">Overview    The Company encourages ownership of its common stock and other securities by Insiders. However, it is the policy of the Company to prohibit the unauthorized disclosure of any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70205"/>
                <wp:effectExtent l="0" t="0" r="0" b="0"/>
                <wp:wrapNone/>
                <wp:docPr id="167" name="Frame165"/>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Non-Public Information acquired in the workplace and the misuse of Material Non-Public Information in securities trading.</w:t>
      </w:r>
    </w:p>
    <w:p>
      <w:pPr>
        <w:pStyle w:val="TextBody"/>
        <w:bidi w:val="0"/>
        <w:spacing w:lineRule="auto" w:line="300" w:before="0" w:after="160"/>
        <w:ind w:left="0" w:right="0" w:hanging="1440"/>
        <w:jc w:val="left"/>
        <w:rPr>
          <w:rFonts w:ascii="sans-serif" w:hAnsi="sans-serif"/>
          <w:b w:val="false"/>
          <w:color w:val="000000"/>
          <w:sz w:val="22"/>
        </w:rPr>
      </w:pPr>
      <w:r>
        <w:rPr>
          <w:rFonts w:ascii="sans-serif" w:hAnsi="sans-serif"/>
          <w:b w:val="false"/>
          <w:color w:val="000000"/>
          <w:sz w:val="22"/>
        </w:rPr>
        <w:t>Requirements    The requirements related to this Policy are identified below:</w:t>
      </w:r>
    </w:p>
    <w:p>
      <w:pPr>
        <w:pStyle w:val="TextBody"/>
        <w:bidi w:val="0"/>
        <w:spacing w:lineRule="auto" w:line="300" w:before="0" w:after="120"/>
        <w:ind w:left="0" w:right="0" w:hanging="360"/>
        <w:jc w:val="left"/>
        <w:rPr/>
      </w:pPr>
      <w:r>
        <w:rPr>
          <w:rFonts w:ascii="sans-serif" w:hAnsi="sans-serif"/>
          <w:b w:val="false"/>
          <w:color w:val="000000"/>
          <w:sz w:val="22"/>
        </w:rPr>
        <w:t>1.0</w:t>
      </w:r>
      <w:r>
        <w:rPr>
          <w:rFonts w:ascii="sans-serif" w:hAnsi="sans-serif"/>
          <w:b/>
          <w:color w:val="000000"/>
          <w:sz w:val="22"/>
        </w:rPr>
        <w:t>Prohibited Transactions</w:t>
      </w:r>
    </w:p>
    <w:p>
      <w:pPr>
        <w:pStyle w:val="TextBody"/>
        <w:bidi w:val="0"/>
        <w:spacing w:lineRule="auto" w:line="300" w:before="0" w:after="120"/>
        <w:ind w:left="0" w:right="0" w:hanging="360"/>
        <w:jc w:val="left"/>
        <w:rPr/>
      </w:pPr>
      <w:r>
        <w:rPr>
          <w:rFonts w:ascii="sans-serif" w:hAnsi="sans-serif"/>
          <w:b w:val="false"/>
          <w:color w:val="000000"/>
          <w:sz w:val="22"/>
        </w:rPr>
        <w:t>1.1</w:t>
      </w:r>
      <w:r>
        <w:rPr>
          <w:rFonts w:ascii="sans-serif" w:hAnsi="sans-serif"/>
          <w:b/>
          <w:color w:val="000000"/>
          <w:sz w:val="22"/>
        </w:rPr>
        <w:t xml:space="preserve">No Insider Trading. </w:t>
      </w:r>
      <w:r>
        <w:rPr>
          <w:rFonts w:ascii="sans-serif" w:hAnsi="sans-serif"/>
          <w:b w:val="false"/>
          <w:color w:val="000000"/>
          <w:sz w:val="22"/>
        </w:rPr>
        <w:t>No Insider shall engage in any Securities Transaction, including any offer to enter into a Securities Transaction, during any period beginning with the date that he or she possesses Material Non-Public Information concerning the Restricted Companies and ending after the release of the Material Non-Public Information to the public or when the information is no longer material.</w:t>
      </w:r>
    </w:p>
    <w:p>
      <w:pPr>
        <w:pStyle w:val="TextBody"/>
        <w:bidi w:val="0"/>
        <w:spacing w:lineRule="auto" w:line="300" w:before="0" w:after="120"/>
        <w:ind w:left="0" w:right="0" w:hanging="360"/>
        <w:jc w:val="left"/>
        <w:rPr/>
      </w:pPr>
      <w:r>
        <w:rPr>
          <w:rFonts w:ascii="sans-serif" w:hAnsi="sans-serif"/>
          <w:b w:val="false"/>
          <w:color w:val="000000"/>
          <w:sz w:val="22"/>
        </w:rPr>
        <w:t>1.2</w:t>
      </w:r>
      <w:r>
        <w:rPr>
          <w:rFonts w:ascii="sans-serif" w:hAnsi="sans-serif"/>
          <w:b/>
          <w:color w:val="000000"/>
          <w:sz w:val="22"/>
        </w:rPr>
        <w:t xml:space="preserve">No Tipping. </w:t>
      </w:r>
      <w:r>
        <w:rPr>
          <w:rFonts w:ascii="sans-serif" w:hAnsi="sans-serif"/>
          <w:b w:val="false"/>
          <w:color w:val="000000"/>
          <w:sz w:val="22"/>
        </w:rPr>
        <w:t>No Insider shall disclose (“tip”) any Material Non-Public Information about the Restricted Companies to another person in breach of a duty of trust or confidence. Nor shall any Insider or related person make recommendations or express opinions on the basis of Material Non-Public Information as to trading in the Restricted Company’s securities.</w:t>
      </w:r>
    </w:p>
    <w:p>
      <w:pPr>
        <w:pStyle w:val="TextBody"/>
        <w:bidi w:val="0"/>
        <w:spacing w:lineRule="auto" w:line="300" w:before="0" w:after="120"/>
        <w:ind w:left="0" w:right="0" w:hanging="360"/>
        <w:jc w:val="left"/>
        <w:rPr/>
      </w:pPr>
      <w:r>
        <w:rPr>
          <w:rFonts w:ascii="sans-serif" w:hAnsi="sans-serif"/>
          <w:b w:val="false"/>
          <w:color w:val="000000"/>
          <w:sz w:val="22"/>
        </w:rPr>
        <w:t>1.3</w:t>
      </w:r>
      <w:r>
        <w:rPr>
          <w:rFonts w:ascii="sans-serif" w:hAnsi="sans-serif"/>
          <w:b/>
          <w:color w:val="000000"/>
          <w:sz w:val="22"/>
        </w:rPr>
        <w:t xml:space="preserve">Other Prohibited Transactions. </w:t>
      </w:r>
      <w:r>
        <w:rPr>
          <w:rFonts w:ascii="sans-serif" w:hAnsi="sans-serif"/>
          <w:b w:val="false"/>
          <w:color w:val="000000"/>
          <w:sz w:val="22"/>
        </w:rPr>
        <w:t>Insiders may not engage, at any time regardless of whether or not they are in possession of Material Non-Public Information, in any of the following activities with respect to securities of the Company:</w:t>
      </w:r>
    </w:p>
    <w:p>
      <w:pPr>
        <w:pStyle w:val="TextBody"/>
        <w:bidi w:val="0"/>
        <w:spacing w:lineRule="auto" w:line="300" w:before="0" w:after="0"/>
        <w:ind w:left="0" w:right="0" w:hanging="540"/>
        <w:jc w:val="left"/>
        <w:rPr/>
      </w:pPr>
      <w:r>
        <w:rPr>
          <w:rFonts w:ascii="sans-serif" w:hAnsi="sans-serif"/>
          <w:b w:val="false"/>
          <w:color w:val="000000"/>
          <w:sz w:val="22"/>
        </w:rPr>
        <w:t>1.1.1</w:t>
      </w:r>
      <w:r>
        <w:rPr>
          <w:rFonts w:ascii="sans-serif" w:hAnsi="sans-serif"/>
          <w:b/>
          <w:color w:val="000000"/>
          <w:sz w:val="22"/>
        </w:rPr>
        <w:t xml:space="preserve">Trading in Securities on a Short-Term Basis. </w:t>
      </w:r>
      <w:r>
        <w:rPr>
          <w:rFonts w:ascii="sans-serif" w:hAnsi="sans-serif"/>
          <w:b w:val="false"/>
          <w:color w:val="000000"/>
          <w:sz w:val="22"/>
        </w:rPr>
        <w:t>Securities of the</w:t>
      </w:r>
      <w:r>
        <w:rPr>
          <w:color w:val="000000"/>
        </w:rPr>
        <w:t xml:space="preserve"> </w:t>
      </w:r>
      <w:r>
        <w:rPr>
          <w:rFonts w:ascii="sans-serif" w:hAnsi="sans-serif"/>
          <w:b w:val="false"/>
          <w:color w:val="000000"/>
          <w:sz w:val="22"/>
        </w:rPr>
        <w:t>Company should be held for a minimum of six months by officers (“</w:t>
      </w:r>
      <w:r>
        <w:rPr>
          <w:rFonts w:ascii="sans-serif" w:hAnsi="sans-serif"/>
          <w:b/>
          <w:color w:val="000000"/>
          <w:sz w:val="22"/>
        </w:rPr>
        <w:t>Officers</w:t>
      </w:r>
      <w:r>
        <w:rPr>
          <w:color w:val="000000"/>
        </w:rPr>
        <w:t>”</w:t>
      </w:r>
      <w:r>
        <w:rPr>
          <w:rFonts w:ascii="sans-serif" w:hAnsi="sans-serif"/>
          <w:b w:val="false"/>
          <w:color w:val="000000"/>
          <w:sz w:val="22"/>
        </w:rPr>
        <w:t>) as defined by Rule 16a-1(f) under the Securities Exchange Act of 1934, as amended (the “</w:t>
      </w:r>
      <w:r>
        <w:rPr>
          <w:rFonts w:ascii="sans-serif" w:hAnsi="sans-serif"/>
          <w:b/>
          <w:color w:val="000000"/>
          <w:sz w:val="22"/>
        </w:rPr>
        <w:t>Exchange Act</w:t>
      </w:r>
      <w:r>
        <w:rPr>
          <w:color w:val="000000"/>
        </w:rPr>
        <w:t>”</w:t>
      </w:r>
      <w:r>
        <w:rPr>
          <w:rFonts w:ascii="sans-serif" w:hAnsi="sans-serif"/>
          <w:b w:val="false"/>
          <w:color w:val="000000"/>
          <w:sz w:val="22"/>
        </w:rPr>
        <w:t>), and Directors when purchased in the open market. The short-swing profit rule of the Securities and Exchange Commission (the “</w:t>
      </w:r>
      <w:r>
        <w:rPr>
          <w:rFonts w:ascii="sans-serif" w:hAnsi="sans-serif"/>
          <w:b/>
          <w:color w:val="000000"/>
          <w:sz w:val="22"/>
        </w:rPr>
        <w:t>SEC</w:t>
      </w:r>
      <w:r>
        <w:rPr>
          <w:color w:val="000000"/>
        </w:rPr>
        <w:t>”</w:t>
      </w:r>
      <w:r>
        <w:rPr>
          <w:rFonts w:ascii="sans-serif" w:hAnsi="sans-serif"/>
          <w:b w:val="false"/>
          <w:color w:val="000000"/>
          <w:sz w:val="22"/>
        </w:rPr>
        <w:t>) penalizes Officers and Directors who purchase or sell any securities of the Company within six-months of a sale or purchase, as applicable (also known as a non-exempt purchase). Purchases of securities of the Company upon exercise of stock options or under the Company’s Employee Stock Purchase Plan (“</w:t>
      </w:r>
      <w:r>
        <w:rPr>
          <w:rFonts w:ascii="sans-serif" w:hAnsi="sans-serif"/>
          <w:b/>
          <w:color w:val="000000"/>
          <w:sz w:val="22"/>
        </w:rPr>
        <w:t>ESPP</w:t>
      </w:r>
      <w:r>
        <w:rPr>
          <w:color w:val="000000"/>
        </w:rPr>
        <w:t>”</w:t>
      </w:r>
      <w:r>
        <w:rPr>
          <w:rFonts w:ascii="sans-serif" w:hAnsi="sans-serif"/>
          <w:b w:val="false"/>
          <w:color w:val="000000"/>
          <w:sz w:val="22"/>
        </w:rPr>
        <w:t>) are exempt from this rule.</w:t>
      </w:r>
    </w:p>
    <w:p>
      <w:pPr>
        <w:pStyle w:val="TextBody"/>
        <w:bidi w:val="0"/>
        <w:spacing w:before="0" w:after="0"/>
        <w:jc w:val="left"/>
        <w:rPr/>
      </w:pPr>
      <w:r>
        <w:rPr/>
      </w:r>
    </w:p>
    <w:p>
      <w:pPr>
        <w:pStyle w:val="TextBody"/>
        <w:bidi w:val="0"/>
        <w:spacing w:lineRule="auto" w:line="300" w:before="0" w:after="0"/>
        <w:ind w:left="0" w:right="0" w:hanging="540"/>
        <w:jc w:val="left"/>
        <w:rPr/>
      </w:pPr>
      <w:r>
        <w:rPr>
          <w:rFonts w:ascii="sans-serif" w:hAnsi="sans-serif"/>
          <w:b w:val="false"/>
          <w:color w:val="000000"/>
          <w:sz w:val="22"/>
        </w:rPr>
        <w:t>1.1.2</w:t>
      </w:r>
      <w:r>
        <w:rPr>
          <w:rFonts w:ascii="sans-serif" w:hAnsi="sans-serif"/>
          <w:b/>
          <w:color w:val="000000"/>
          <w:sz w:val="22"/>
        </w:rPr>
        <w:t xml:space="preserve">Purchases of Securities of the Company on Margin. </w:t>
      </w:r>
      <w:r>
        <w:rPr>
          <w:rFonts w:ascii="sans-serif" w:hAnsi="sans-serif"/>
          <w:b w:val="false"/>
          <w:color w:val="000000"/>
          <w:sz w:val="22"/>
        </w:rPr>
        <w:t>Borrowing from a brokerage firm, bank or other entity in order to purchase securities of the Company (other than in connection with a so-called “cashless” exercise of options under the Company’s equity incentive plans) is prohibited.</w:t>
      </w:r>
    </w:p>
    <w:p>
      <w:pPr>
        <w:pStyle w:val="TextBody"/>
        <w:bidi w:val="0"/>
        <w:spacing w:before="0" w:after="0"/>
        <w:jc w:val="left"/>
        <w:rPr/>
      </w:pPr>
      <w:r>
        <w:rPr/>
      </w:r>
    </w:p>
    <w:p>
      <w:pPr>
        <w:pStyle w:val="TextBody"/>
        <w:bidi w:val="0"/>
        <w:spacing w:lineRule="auto" w:line="300" w:before="0" w:after="0"/>
        <w:ind w:left="0" w:right="0" w:hanging="540"/>
        <w:jc w:val="left"/>
        <w:rPr/>
      </w:pPr>
      <w:r>
        <w:rPr>
          <w:rFonts w:ascii="sans-serif" w:hAnsi="sans-serif"/>
          <w:b w:val="false"/>
          <w:color w:val="000000"/>
          <w:sz w:val="22"/>
        </w:rPr>
        <w:t>1.1.3</w:t>
      </w:r>
      <w:r>
        <w:rPr>
          <w:rFonts w:ascii="sans-serif" w:hAnsi="sans-serif"/>
          <w:b/>
          <w:color w:val="000000"/>
          <w:sz w:val="22"/>
        </w:rPr>
        <w:t xml:space="preserve">Pledging Securities of the Company to Secure Margin or Other Loans. </w:t>
      </w:r>
      <w:r>
        <w:rPr>
          <w:rFonts w:ascii="sans-serif" w:hAnsi="sans-serif"/>
          <w:b w:val="false"/>
          <w:color w:val="000000"/>
          <w:sz w:val="22"/>
        </w:rPr>
        <w:t>Pledging securities of the Company as collateral to secure loans is prohibited. This prohibition means, among other things, that the Company does not permit Insiders to hold securities of the Company in a “margin” account, which would allow the Insider to borrow against their holdings to buy securities.</w:t>
      </w:r>
    </w:p>
    <w:p>
      <w:pPr>
        <w:pStyle w:val="TextBody"/>
        <w:bidi w:val="0"/>
        <w:spacing w:before="0" w:after="0"/>
        <w:jc w:val="left"/>
        <w:rPr/>
      </w:pPr>
      <w:r>
        <w:rPr/>
      </w:r>
    </w:p>
    <w:p>
      <w:pPr>
        <w:pStyle w:val="TextBody"/>
        <w:bidi w:val="0"/>
        <w:spacing w:lineRule="auto" w:line="300" w:before="0" w:after="0"/>
        <w:ind w:left="0" w:right="0" w:hanging="540"/>
        <w:jc w:val="left"/>
        <w:rPr/>
      </w:pPr>
      <w:r>
        <w:rPr>
          <w:rFonts w:ascii="sans-serif" w:hAnsi="sans-serif"/>
          <w:b w:val="false"/>
          <w:color w:val="000000"/>
          <w:sz w:val="22"/>
        </w:rPr>
        <w:t>1.1.4</w:t>
      </w:r>
      <w:r>
        <w:rPr>
          <w:rFonts w:ascii="sans-serif" w:hAnsi="sans-serif"/>
          <w:b/>
          <w:color w:val="000000"/>
          <w:sz w:val="22"/>
        </w:rPr>
        <w:t xml:space="preserve">Short Sales of Securities of the Company. </w:t>
      </w:r>
      <w:r>
        <w:rPr>
          <w:rFonts w:ascii="sans-serif" w:hAnsi="sans-serif"/>
          <w:b w:val="false"/>
          <w:color w:val="000000"/>
          <w:sz w:val="22"/>
        </w:rPr>
        <w:t>Selling securities of the Company that an Insider does not currently own in the expectation that the price of the security will fall, or as part of a hedge or arbitrage transaction is prohibited.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70205"/>
                <wp:effectExtent l="0" t="0" r="0" b="0"/>
                <wp:wrapNone/>
                <wp:docPr id="168" name="Frame166"/>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540"/>
        <w:jc w:val="left"/>
        <w:rPr/>
      </w:pPr>
      <w:r>
        <w:rPr>
          <w:rFonts w:ascii="sans-serif" w:hAnsi="sans-serif"/>
          <w:b w:val="false"/>
          <w:color w:val="000000"/>
          <w:sz w:val="22"/>
        </w:rPr>
        <w:t>1.1.5</w:t>
      </w:r>
      <w:r>
        <w:rPr>
          <w:rFonts w:ascii="sans-serif" w:hAnsi="sans-serif"/>
          <w:b/>
          <w:color w:val="000000"/>
          <w:sz w:val="22"/>
        </w:rPr>
        <w:t xml:space="preserve">Derivative or Hedging Transactions Related to Restricted Companies. </w:t>
      </w:r>
      <w:r>
        <w:rPr>
          <w:rFonts w:ascii="sans-serif" w:hAnsi="sans-serif"/>
          <w:b w:val="false"/>
          <w:color w:val="000000"/>
          <w:sz w:val="22"/>
        </w:rPr>
        <w:t>Buying or selling put or call options on securities of the Restricted Companies, or entering into other derivative contracts or hedging transactions is prohibited. This includes options trading on any of the stock exchanges or futures exchanges, as well as customized derivative or hedging transactions with third parties.</w:t>
      </w:r>
    </w:p>
    <w:p>
      <w:pPr>
        <w:pStyle w:val="TextBody"/>
        <w:bidi w:val="0"/>
        <w:spacing w:before="0" w:after="0"/>
        <w:jc w:val="left"/>
        <w:rPr/>
      </w:pPr>
      <w:r>
        <w:rPr/>
      </w:r>
    </w:p>
    <w:p>
      <w:pPr>
        <w:pStyle w:val="TextBody"/>
        <w:bidi w:val="0"/>
        <w:spacing w:lineRule="auto" w:line="300" w:before="0" w:after="0"/>
        <w:ind w:left="0" w:right="0" w:hanging="540"/>
        <w:jc w:val="left"/>
        <w:rPr/>
      </w:pPr>
      <w:r>
        <w:rPr>
          <w:rFonts w:ascii="sans-serif" w:hAnsi="sans-serif"/>
          <w:b w:val="false"/>
          <w:color w:val="000000"/>
          <w:sz w:val="22"/>
        </w:rPr>
        <w:t>1.1.6</w:t>
      </w:r>
      <w:r>
        <w:rPr>
          <w:rFonts w:ascii="sans-serif" w:hAnsi="sans-serif"/>
          <w:b/>
          <w:color w:val="000000"/>
          <w:sz w:val="22"/>
        </w:rPr>
        <w:t xml:space="preserve">Director and Officer Cashless Exercises. </w:t>
      </w:r>
      <w:r>
        <w:rPr>
          <w:rFonts w:ascii="sans-serif" w:hAnsi="sans-serif"/>
          <w:b w:val="false"/>
          <w:color w:val="000000"/>
          <w:sz w:val="22"/>
        </w:rPr>
        <w:t>The Company will not arrange with brokers to administer cashless exercises on behalf of Directors and Officers of the Company. Directors and Officers of the Company may only utilize the cashless exercise feature of their options if (i) the Director or Officer retains a broker independently of the Company, (ii) the Company’s involvement is limited to confirming that it will deliver the stock promptly upon payment of the exercise price and (iii) the Director or Officer uses a “T+2” or “T+1” cashless exercise arrangement, in which the Company agrees to deliver stock against the payment of the purchase price on the same day the sale of the stock underlying the option settles. Under a T+2 or T+1 cashless exercise, a stockbroker, the issuer, and the transfer agent of the issuer work together to make all transactions settle simultaneously. Any Insider who has any questions about cashless exercises may obtain additional guidance from the Trading Compliance Officer.</w:t>
      </w:r>
    </w:p>
    <w:p>
      <w:pPr>
        <w:pStyle w:val="TextBody"/>
        <w:bidi w:val="0"/>
        <w:spacing w:before="0" w:after="120"/>
        <w:jc w:val="left"/>
        <w:rPr/>
      </w:pPr>
      <w:r>
        <w:rPr/>
      </w:r>
    </w:p>
    <w:p>
      <w:pPr>
        <w:pStyle w:val="TextBody"/>
        <w:bidi w:val="0"/>
        <w:spacing w:lineRule="auto" w:line="300" w:before="0" w:after="120"/>
        <w:ind w:left="0" w:right="0" w:hanging="360"/>
        <w:jc w:val="left"/>
        <w:rPr/>
      </w:pPr>
      <w:r>
        <w:rPr>
          <w:rFonts w:ascii="sans-serif" w:hAnsi="sans-serif"/>
          <w:b w:val="false"/>
          <w:color w:val="000000"/>
          <w:sz w:val="22"/>
        </w:rPr>
        <w:t>1.4</w:t>
      </w:r>
      <w:r>
        <w:rPr>
          <w:rFonts w:ascii="sans-serif" w:hAnsi="sans-serif"/>
          <w:b/>
          <w:color w:val="000000"/>
          <w:sz w:val="22"/>
        </w:rPr>
        <w:t xml:space="preserve">Trading Window. </w:t>
      </w:r>
      <w:r>
        <w:rPr>
          <w:rFonts w:ascii="sans-serif" w:hAnsi="sans-serif"/>
          <w:b w:val="false"/>
          <w:color w:val="000000"/>
          <w:sz w:val="22"/>
        </w:rPr>
        <w:t>Restricted Transactions outside of the Trading Window are prohibited.</w:t>
      </w:r>
    </w:p>
    <w:p>
      <w:pPr>
        <w:pStyle w:val="TextBody"/>
        <w:bidi w:val="0"/>
        <w:spacing w:lineRule="auto" w:line="300" w:before="0" w:after="120"/>
        <w:jc w:val="left"/>
        <w:rPr>
          <w:rFonts w:ascii="sans-serif" w:hAnsi="sans-serif"/>
          <w:b w:val="false"/>
          <w:color w:val="000000"/>
          <w:sz w:val="22"/>
        </w:rPr>
      </w:pPr>
      <w:r>
        <w:rPr>
          <w:rFonts w:ascii="sans-serif" w:hAnsi="sans-serif"/>
          <w:b w:val="false"/>
          <w:color w:val="000000"/>
          <w:sz w:val="22"/>
        </w:rPr>
        <w:t>Even during Open Window Periods, trading is not permitted when Insiders are in possession of Material Non-Public Information or material developments are anticipated. Thus, the Open Window periods are merely times when trading will be permitted absent other factors. The Trading Compliance Officer may shorten the Open Window Period (or eliminate one or more Open Window Periods in their entirety) at his or her discretion. Please note that sales of shares acquired under the ESPP, upon the vesting and settlement of RSUs and PSUs or upon the exercise of stock options, are covered by the trading window policy.</w:t>
      </w:r>
    </w:p>
    <w:p>
      <w:pPr>
        <w:pStyle w:val="TextBody"/>
        <w:bidi w:val="0"/>
        <w:spacing w:lineRule="auto" w:line="300" w:before="0" w:after="120"/>
        <w:jc w:val="left"/>
        <w:rPr>
          <w:rFonts w:ascii="sans-serif" w:hAnsi="sans-serif"/>
          <w:b w:val="false"/>
          <w:color w:val="000000"/>
          <w:sz w:val="22"/>
        </w:rPr>
      </w:pPr>
      <w:r>
        <w:rPr>
          <w:rFonts w:ascii="sans-serif" w:hAnsi="sans-serif"/>
          <w:b w:val="false"/>
          <w:color w:val="000000"/>
          <w:sz w:val="22"/>
        </w:rPr>
        <w:t>If an Officer or Director of the Company ends service as an employee, consultant or director for any reason, Trading Windows will continue to apply to the Officer or Director in its entirety for a period of 90 days immediately following the termination date, and Officers and Directors remain subject to Section 16 reporting with respect to any “matching” transactions under Section 16(b) of the Exchange Act.</w:t>
      </w:r>
    </w:p>
    <w:p>
      <w:pPr>
        <w:pStyle w:val="TextBody"/>
        <w:bidi w:val="0"/>
        <w:spacing w:lineRule="auto" w:line="300" w:before="0" w:after="120"/>
        <w:jc w:val="left"/>
        <w:rPr>
          <w:rFonts w:ascii="sans-serif" w:hAnsi="sans-serif"/>
          <w:b w:val="false"/>
          <w:color w:val="000000"/>
          <w:sz w:val="22"/>
        </w:rPr>
      </w:pPr>
      <w:r>
        <w:rPr>
          <w:rFonts w:ascii="sans-serif" w:hAnsi="sans-serif"/>
          <w:b w:val="false"/>
          <w:color w:val="000000"/>
          <w:sz w:val="22"/>
        </w:rPr>
        <w:t>If other Insiders of the Company terminate during a closed window period, they will remain subject to the closed window period and cannot buy or sell the Company’s securities in non-exempt transactions until an Open Window Period.</w:t>
      </w:r>
    </w:p>
    <w:p>
      <w:pPr>
        <w:pStyle w:val="TextBody"/>
        <w:bidi w:val="0"/>
        <w:spacing w:lineRule="auto" w:line="300" w:before="0" w:after="120"/>
        <w:ind w:left="0" w:right="0" w:hanging="360"/>
        <w:jc w:val="left"/>
        <w:rPr/>
      </w:pPr>
      <w:r>
        <w:rPr>
          <w:rFonts w:ascii="sans-serif" w:hAnsi="sans-serif"/>
          <w:b w:val="false"/>
          <w:color w:val="000000"/>
          <w:sz w:val="22"/>
        </w:rPr>
        <w:t>2.0</w:t>
      </w:r>
      <w:r>
        <w:rPr>
          <w:rFonts w:ascii="sans-serif" w:hAnsi="sans-serif"/>
          <w:b/>
          <w:color w:val="000000"/>
          <w:sz w:val="22"/>
        </w:rPr>
        <w:t>Potential Criminal or Civil Liability and/or Disciplinary Action</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The consequences of Insider Trading violations can be significant and could lead to criminal or civil liability. In addition, Insiders who violate this Policy shall also be subject to disciplinary action by the Company, which may include ineligibility for future participation in the Company’s equity incentive plans or termination of employment or other service provider relationships.</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70205"/>
                <wp:effectExtent l="0" t="0" r="0" b="0"/>
                <wp:wrapNone/>
                <wp:docPr id="169" name="Frame167"/>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In the event that any Officer or Director of the Company is subject to a final judgment in an enforcement action taken by the United States Department of Justice or the SEC for violation of insider trading laws, the Company has the right to claw back the proceeds of such insider trading from the Officer or Director against whom the final judgment was issued.</w:t>
      </w:r>
    </w:p>
    <w:p>
      <w:pPr>
        <w:pStyle w:val="TextBody"/>
        <w:bidi w:val="0"/>
        <w:spacing w:lineRule="auto" w:line="300" w:before="0" w:after="120"/>
        <w:ind w:left="0" w:right="0" w:hanging="360"/>
        <w:jc w:val="left"/>
        <w:rPr/>
      </w:pPr>
      <w:r>
        <w:rPr>
          <w:rFonts w:ascii="sans-serif" w:hAnsi="sans-serif"/>
          <w:b w:val="false"/>
          <w:color w:val="000000"/>
          <w:sz w:val="22"/>
        </w:rPr>
        <w:t>3.0</w:t>
      </w:r>
      <w:r>
        <w:rPr>
          <w:rFonts w:ascii="sans-serif" w:hAnsi="sans-serif"/>
          <w:b/>
          <w:color w:val="000000"/>
          <w:sz w:val="22"/>
        </w:rPr>
        <w:t>Individual Responsibility</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All Insiders have the individual responsibility to comply with this Policy against Insider Trading. The requirements set forth in this Policy are not intended to be exhaustive, and appropriate judgment should be exercised in connection with any security trades of the Restricted Companies.</w:t>
      </w:r>
    </w:p>
    <w:p>
      <w:pPr>
        <w:pStyle w:val="TextBody"/>
        <w:bidi w:val="0"/>
        <w:spacing w:lineRule="auto" w:line="300" w:before="0" w:after="160"/>
        <w:jc w:val="left"/>
        <w:rPr>
          <w:rFonts w:ascii="sans-serif" w:hAnsi="sans-serif"/>
          <w:b w:val="false"/>
          <w:color w:val="000000"/>
          <w:sz w:val="22"/>
        </w:rPr>
      </w:pPr>
      <w:r>
        <w:rPr>
          <w:rFonts w:ascii="sans-serif" w:hAnsi="sans-serif"/>
          <w:b w:val="false"/>
          <w:color w:val="000000"/>
          <w:sz w:val="22"/>
        </w:rPr>
        <w:t>An Insider may, from time to time, have to forego a proposed transaction in the securities of the Restricted Companies even if the Insider planned to make the transaction before learning of the Material Non-Public Information and even though the Insider believes they may suffer an economic loss or forego anticipated profit by waiting.</w:t>
      </w:r>
    </w:p>
    <w:p>
      <w:pPr>
        <w:pStyle w:val="TextBody"/>
        <w:bidi w:val="0"/>
        <w:spacing w:lineRule="auto" w:line="300" w:before="0" w:after="120"/>
        <w:ind w:left="0" w:right="0" w:hanging="360"/>
        <w:jc w:val="left"/>
        <w:rPr/>
      </w:pPr>
      <w:r>
        <w:rPr>
          <w:rFonts w:ascii="sans-serif" w:hAnsi="sans-serif"/>
          <w:b w:val="false"/>
          <w:color w:val="000000"/>
          <w:sz w:val="22"/>
        </w:rPr>
        <w:t>4.0</w:t>
      </w:r>
      <w:r>
        <w:rPr>
          <w:rFonts w:ascii="sans-serif" w:hAnsi="sans-serif"/>
          <w:b/>
          <w:color w:val="000000"/>
          <w:sz w:val="22"/>
        </w:rPr>
        <w:t>Specific Requirements for Certain Insiders</w:t>
      </w:r>
    </w:p>
    <w:p>
      <w:pPr>
        <w:pStyle w:val="TextBody"/>
        <w:bidi w:val="0"/>
        <w:spacing w:lineRule="auto" w:line="300" w:before="0" w:after="120"/>
        <w:jc w:val="left"/>
        <w:rPr>
          <w:rFonts w:ascii="sans-serif" w:hAnsi="sans-serif"/>
          <w:b w:val="false"/>
          <w:color w:val="000000"/>
          <w:sz w:val="22"/>
        </w:rPr>
      </w:pPr>
      <w:r>
        <w:rPr>
          <w:rFonts w:ascii="sans-serif" w:hAnsi="sans-serif"/>
          <w:b w:val="false"/>
          <w:color w:val="000000"/>
          <w:sz w:val="22"/>
        </w:rPr>
        <w:t>The following policies will apply with respect to the timing of trading in the Company’s securities:</w:t>
      </w:r>
    </w:p>
    <w:p>
      <w:pPr>
        <w:pStyle w:val="TextBody"/>
        <w:bidi w:val="0"/>
        <w:spacing w:lineRule="auto" w:line="297" w:before="0" w:after="0"/>
        <w:ind w:left="0" w:right="0" w:hanging="360"/>
        <w:jc w:val="left"/>
        <w:rPr/>
      </w:pPr>
      <w:r>
        <w:rPr>
          <w:rFonts w:ascii="sans-serif" w:hAnsi="sans-serif"/>
          <w:b w:val="false"/>
          <w:color w:val="000000"/>
          <w:sz w:val="22"/>
        </w:rPr>
        <w:t>4.1</w:t>
      </w:r>
      <w:r>
        <w:rPr>
          <w:rFonts w:ascii="sans-serif" w:hAnsi="sans-serif"/>
          <w:b/>
          <w:color w:val="000000"/>
          <w:sz w:val="22"/>
        </w:rPr>
        <w:t xml:space="preserve">Review of Trades. </w:t>
      </w:r>
      <w:r>
        <w:rPr>
          <w:rFonts w:ascii="sans-serif" w:hAnsi="sans-serif"/>
          <w:b w:val="false"/>
          <w:color w:val="000000"/>
          <w:sz w:val="22"/>
        </w:rPr>
        <w:t>Directors and Employees of the Company at the Vice President level and above (“</w:t>
      </w:r>
      <w:r>
        <w:rPr>
          <w:rFonts w:ascii="sans-serif" w:hAnsi="sans-serif"/>
          <w:b/>
          <w:color w:val="000000"/>
          <w:sz w:val="22"/>
        </w:rPr>
        <w:t>Key Personnel</w:t>
      </w:r>
      <w:r>
        <w:rPr>
          <w:color w:val="000000"/>
        </w:rPr>
        <w:t>”</w:t>
      </w:r>
      <w:r>
        <w:rPr>
          <w:rFonts w:ascii="sans-serif" w:hAnsi="sans-serif"/>
          <w:b w:val="false"/>
          <w:color w:val="000000"/>
          <w:sz w:val="22"/>
        </w:rPr>
        <w:t>) are required to contact the Trading Compliance Officer (or such individuals as he or she may designate) prior to the execution of any trade in the Company’s securities to seek preclearance. Key Personnel shall certify in writing to the Trading Compliance Officer that they are not in possession of Material Non-Public Information about the Company. The Trading Compliance Officer shall acknowledge receipt of the certification and confirm whether there have been undisclosed developments that, in the Trading Compliance Officer’s discretion, would preclude the trade. No trades in Company securities by Key Personnel shall occur prior to receiving such acknowledgement and confirmation that there have been no such undisclosed developments. It shall be, at all times, the responsibility of Key Personnel to comply with this Policy. Key Personnel shall be responsible for maintaining records of preclearance.</w:t>
      </w:r>
    </w:p>
    <w:p>
      <w:pPr>
        <w:pStyle w:val="TextBody"/>
        <w:bidi w:val="0"/>
        <w:spacing w:before="0" w:after="0"/>
        <w:jc w:val="left"/>
        <w:rPr/>
      </w:pPr>
      <w:r>
        <w:rPr/>
      </w:r>
    </w:p>
    <w:p>
      <w:pPr>
        <w:pStyle w:val="TextBody"/>
        <w:bidi w:val="0"/>
        <w:spacing w:lineRule="auto" w:line="297" w:before="0" w:after="0"/>
        <w:jc w:val="left"/>
        <w:rPr>
          <w:rFonts w:ascii="sans-serif" w:hAnsi="sans-serif"/>
          <w:b w:val="false"/>
          <w:color w:val="000000"/>
          <w:sz w:val="22"/>
        </w:rPr>
      </w:pPr>
      <w:r>
        <w:rPr>
          <w:rFonts w:ascii="sans-serif" w:hAnsi="sans-serif"/>
          <w:b w:val="false"/>
          <w:color w:val="000000"/>
          <w:sz w:val="22"/>
        </w:rPr>
        <w:t>If the service or employment of a Key Personnel terminates for any reason, the requirement for preclearance of all trades will continue to apply to the Key Personnel until the earlier of 90 days immediately following the termination date, or an Open Trading Window.</w:t>
      </w:r>
    </w:p>
    <w:p>
      <w:pPr>
        <w:pStyle w:val="TextBody"/>
        <w:bidi w:val="0"/>
        <w:spacing w:before="0" w:after="0"/>
        <w:jc w:val="left"/>
        <w:rPr/>
      </w:pPr>
      <w:r>
        <w:rPr/>
      </w:r>
    </w:p>
    <w:p>
      <w:pPr>
        <w:pStyle w:val="TextBody"/>
        <w:bidi w:val="0"/>
        <w:spacing w:lineRule="auto" w:line="297" w:before="0" w:after="0"/>
        <w:jc w:val="left"/>
        <w:rPr>
          <w:rFonts w:ascii="sans-serif" w:hAnsi="sans-serif"/>
          <w:b w:val="false"/>
          <w:color w:val="000000"/>
          <w:sz w:val="22"/>
        </w:rPr>
      </w:pPr>
      <w:r>
        <w:rPr>
          <w:rFonts w:ascii="sans-serif" w:hAnsi="sans-serif"/>
          <w:b w:val="false"/>
          <w:color w:val="000000"/>
          <w:sz w:val="22"/>
        </w:rPr>
        <w:t>Preclearance does not relieve the Key Personnel of responsibility under SEC rules.</w:t>
      </w:r>
    </w:p>
    <w:p>
      <w:pPr>
        <w:pStyle w:val="TextBody"/>
        <w:bidi w:val="0"/>
        <w:spacing w:before="0" w:after="0"/>
        <w:jc w:val="left"/>
        <w:rPr/>
      </w:pPr>
      <w:r>
        <w:rPr/>
      </w:r>
    </w:p>
    <w:p>
      <w:pPr>
        <w:pStyle w:val="TextBody"/>
        <w:bidi w:val="0"/>
        <w:spacing w:lineRule="auto" w:line="300" w:before="0" w:after="0"/>
        <w:ind w:left="0" w:right="0" w:hanging="360"/>
        <w:jc w:val="left"/>
        <w:rPr/>
      </w:pPr>
      <w:r>
        <w:rPr>
          <w:rFonts w:ascii="sans-serif" w:hAnsi="sans-serif"/>
          <w:b w:val="false"/>
          <w:color w:val="000000"/>
          <w:sz w:val="22"/>
        </w:rPr>
        <w:t>4.2</w:t>
      </w:r>
      <w:r>
        <w:rPr>
          <w:rFonts w:ascii="sans-serif" w:hAnsi="sans-serif"/>
          <w:b/>
          <w:color w:val="000000"/>
          <w:sz w:val="22"/>
        </w:rPr>
        <w:t>Additional Information – Directors and Officers.</w:t>
      </w:r>
      <w:r>
        <w:rPr>
          <w:color w:val="000000"/>
        </w:rPr>
        <w:t xml:space="preserve"> </w:t>
      </w:r>
      <w:r>
        <w:rPr>
          <w:rFonts w:ascii="sans-serif" w:hAnsi="sans-serif"/>
          <w:b w:val="false"/>
          <w:color w:val="000000"/>
          <w:sz w:val="22"/>
        </w:rPr>
        <w:t>Director and Officers of the Company must also comply with reporting obligations and limitations on short-swing transactions set forth in Section 16 of the Exchange Act.</w:t>
      </w:r>
    </w:p>
    <w:p>
      <w:pPr>
        <w:pStyle w:val="TextBody"/>
        <w:bidi w:val="0"/>
        <w:spacing w:before="0" w:after="0"/>
        <w:jc w:val="left"/>
        <w:rPr/>
      </w:pPr>
      <w:r>
        <w:rPr/>
      </w:r>
    </w:p>
    <w:p>
      <w:pPr>
        <w:pStyle w:val="TextBody"/>
        <w:bidi w:val="0"/>
        <w:spacing w:lineRule="auto" w:line="300"/>
        <w:jc w:val="left"/>
        <w:rPr>
          <w:rFonts w:ascii="sans-serif" w:hAnsi="sans-serif"/>
          <w:b w:val="false"/>
          <w:color w:val="000000"/>
          <w:sz w:val="22"/>
        </w:rPr>
      </w:pPr>
      <w:r>
        <w:rPr>
          <w:rFonts w:ascii="sans-serif" w:hAnsi="sans-serif"/>
          <w:b w:val="false"/>
          <w:color w:val="000000"/>
          <w:sz w:val="22"/>
        </w:rPr>
        <w:t xml:space="preserve">Subject to certain exceptions, Directors and Officers who purchase and sell the Company’s securities within any six-month period must disgorge all profits to the Company whether or not they had knowledge of any Material Non-Public Information. Under these provisions, and so long as certain other criteria are met,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70205"/>
                <wp:effectExtent l="0" t="0" r="0" b="0"/>
                <wp:wrapNone/>
                <wp:docPr id="170" name="Frame168"/>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the following transactions are exempt from short-swing profit liability under Section 16:</w:t>
      </w:r>
    </w:p>
    <w:p>
      <w:pPr>
        <w:pStyle w:val="TextBody"/>
        <w:bidi w:val="0"/>
        <w:spacing w:before="0" w:after="0"/>
        <w:jc w:val="left"/>
        <w:rPr/>
      </w:pPr>
      <w:r>
        <w:rPr/>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The grant of a stock option, RSUs or PSUs;</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The exercise of a stock option; and</w:t>
      </w:r>
    </w:p>
    <w:p>
      <w:pPr>
        <w:pStyle w:val="TextBody"/>
        <w:bidi w:val="0"/>
        <w:spacing w:lineRule="auto" w:line="417" w:before="0" w:after="0"/>
        <w:ind w:left="0" w:right="0" w:hanging="360"/>
        <w:jc w:val="left"/>
        <w:rPr/>
      </w:pPr>
      <w:r>
        <w:rPr>
          <w:color w:val="000000"/>
        </w:rPr>
        <w:t>•</w:t>
      </w:r>
      <w:r>
        <w:rPr>
          <w:rFonts w:ascii="sans-serif" w:hAnsi="sans-serif"/>
          <w:b w:val="false"/>
          <w:color w:val="000000"/>
          <w:sz w:val="22"/>
        </w:rPr>
        <w:t>The purchase of common stock through the Company’s ESPP.</w:t>
      </w:r>
    </w:p>
    <w:p>
      <w:pPr>
        <w:pStyle w:val="TextBody"/>
        <w:bidi w:val="0"/>
        <w:spacing w:before="0" w:after="0"/>
        <w:jc w:val="left"/>
        <w:rPr/>
      </w:pPr>
      <w:r>
        <w:rPr/>
      </w:r>
    </w:p>
    <w:p>
      <w:pPr>
        <w:pStyle w:val="TextBody"/>
        <w:bidi w:val="0"/>
        <w:spacing w:lineRule="auto" w:line="300" w:before="0" w:after="120"/>
        <w:ind w:left="0" w:right="0" w:hanging="360"/>
        <w:jc w:val="left"/>
        <w:rPr/>
      </w:pPr>
      <w:r>
        <w:rPr>
          <w:rFonts w:ascii="sans-serif" w:hAnsi="sans-serif"/>
          <w:b w:val="false"/>
          <w:color w:val="000000"/>
          <w:sz w:val="22"/>
        </w:rPr>
        <w:t>4.3</w:t>
      </w:r>
      <w:r>
        <w:rPr>
          <w:rFonts w:ascii="sans-serif" w:hAnsi="sans-serif"/>
          <w:b/>
          <w:color w:val="000000"/>
          <w:sz w:val="22"/>
        </w:rPr>
        <w:t xml:space="preserve">Gifts of Stock. </w:t>
      </w:r>
      <w:r>
        <w:rPr>
          <w:rFonts w:ascii="sans-serif" w:hAnsi="sans-serif"/>
          <w:b w:val="false"/>
          <w:color w:val="000000"/>
          <w:sz w:val="22"/>
        </w:rPr>
        <w:t>Under the assumption that minors living in their household are under custodial control, Insiders are permitted to gift Company stock to minors living in their household outside of Open Window Periods and outside of any then effective Trading Plan. If the Insider retains dispositive power over the gifted shares, Insiders will also be permitted to gift Company stock to family and other estate planning vehicles outside of Open Window Periods and outside of any then effective Trading Plan. However, securities of the Company gifted to such minors, trusts or other vehicles is subject to the restrictions of this Policy and may not be traded outside of Open Window Periods.</w:t>
      </w:r>
    </w:p>
    <w:p>
      <w:pPr>
        <w:pStyle w:val="TextBody"/>
        <w:bidi w:val="0"/>
        <w:spacing w:lineRule="auto" w:line="300" w:before="0" w:after="120"/>
        <w:jc w:val="left"/>
        <w:rPr>
          <w:rFonts w:ascii="sans-serif" w:hAnsi="sans-serif"/>
          <w:b w:val="false"/>
          <w:color w:val="000000"/>
          <w:sz w:val="22"/>
        </w:rPr>
      </w:pPr>
      <w:r>
        <w:rPr>
          <w:rFonts w:ascii="sans-serif" w:hAnsi="sans-serif"/>
          <w:b w:val="false"/>
          <w:color w:val="000000"/>
          <w:sz w:val="22"/>
        </w:rPr>
        <w:t>Except in the foregoing cases, the Company prohibits Insiders from gifting securities of the Company to family members or estate planning vehicles outside of Open Window Periods unless pursuant to a Trading Plan adopted in compliance with this Policy. Insiders are expected to be responsible for the compliance of this Policy by their immediate family and personal household.</w:t>
      </w:r>
    </w:p>
    <w:p>
      <w:pPr>
        <w:pStyle w:val="TextBody"/>
        <w:bidi w:val="0"/>
        <w:spacing w:lineRule="auto" w:line="300" w:before="0" w:after="120"/>
        <w:jc w:val="left"/>
        <w:rPr>
          <w:rFonts w:ascii="sans-serif" w:hAnsi="sans-serif"/>
          <w:b w:val="false"/>
          <w:color w:val="000000"/>
          <w:sz w:val="22"/>
        </w:rPr>
      </w:pPr>
      <w:r>
        <w:rPr>
          <w:rFonts w:ascii="sans-serif" w:hAnsi="sans-serif"/>
          <w:b w:val="false"/>
          <w:color w:val="000000"/>
          <w:sz w:val="22"/>
        </w:rPr>
        <w:t>Charitable, educational and religious institutions generally trade gifted securities promptly after receipt. To avoid improper transactions or the appearance of any improper transaction, Insiders are not permitted to gift securities of the Company to charitable, educational, and religious institutions, or other exempt organizations as defined in Internal Revenue Code §501(c), outside of Open Window Periods unless pursuant to a Trading Plan adopted in compliance with this Policy. Exceptions may be made in cases where the charitable recipient is unaffiliated with the donor and an agreement is made not to dispose of the donated security until the next Open Window Period. Such exceptions shall be at the sole discretion of the Trading Compliance Officer.</w:t>
      </w:r>
    </w:p>
    <w:p>
      <w:pPr>
        <w:pStyle w:val="TextBody"/>
        <w:bidi w:val="0"/>
        <w:spacing w:lineRule="auto" w:line="300" w:before="0" w:after="120"/>
        <w:ind w:left="0" w:right="0" w:hanging="360"/>
        <w:jc w:val="left"/>
        <w:rPr/>
      </w:pPr>
      <w:r>
        <w:rPr>
          <w:rFonts w:ascii="sans-serif" w:hAnsi="sans-serif"/>
          <w:b w:val="false"/>
          <w:color w:val="000000"/>
          <w:sz w:val="22"/>
        </w:rPr>
        <w:t>4.4</w:t>
      </w:r>
      <w:r>
        <w:rPr>
          <w:rFonts w:ascii="sans-serif" w:hAnsi="sans-serif"/>
          <w:b/>
          <w:color w:val="000000"/>
          <w:sz w:val="22"/>
        </w:rPr>
        <w:t>10b5-1 Trading Plans</w:t>
      </w:r>
    </w:p>
    <w:p>
      <w:pPr>
        <w:pStyle w:val="TextBody"/>
        <w:bidi w:val="0"/>
        <w:spacing w:lineRule="auto" w:line="300" w:before="0" w:after="120"/>
        <w:ind w:left="0" w:right="0" w:hanging="720"/>
        <w:jc w:val="left"/>
        <w:rPr/>
      </w:pPr>
      <w:r>
        <w:rPr>
          <w:rFonts w:ascii="sans-serif" w:hAnsi="sans-serif"/>
          <w:b w:val="false"/>
          <w:color w:val="000000"/>
          <w:sz w:val="22"/>
        </w:rPr>
        <w:t>1.1.1</w:t>
      </w:r>
      <w:r>
        <w:rPr>
          <w:rFonts w:ascii="sans-serif" w:hAnsi="sans-serif"/>
          <w:b/>
          <w:color w:val="000000"/>
          <w:sz w:val="22"/>
        </w:rPr>
        <w:t xml:space="preserve">Requirements. </w:t>
      </w:r>
      <w:r>
        <w:rPr>
          <w:rFonts w:ascii="sans-serif" w:hAnsi="sans-serif"/>
          <w:b w:val="false"/>
          <w:color w:val="000000"/>
          <w:sz w:val="22"/>
        </w:rPr>
        <w:t>SEC Rule 10b5-1 provides certain legal protections for transactions under a previously established contract, plan or instruction to trade the Company’s securities entered into in accordance with Rule 10b5-1 (a “</w:t>
      </w:r>
      <w:r>
        <w:rPr>
          <w:rFonts w:ascii="sans-serif" w:hAnsi="sans-serif"/>
          <w:b/>
          <w:color w:val="000000"/>
          <w:sz w:val="22"/>
        </w:rPr>
        <w:t>Trading Plan</w:t>
      </w:r>
      <w:r>
        <w:rPr>
          <w:color w:val="000000"/>
        </w:rPr>
        <w:t>”</w:t>
      </w:r>
      <w:r>
        <w:rPr>
          <w:rFonts w:ascii="sans-serif" w:hAnsi="sans-serif"/>
          <w:b w:val="false"/>
          <w:color w:val="000000"/>
          <w:sz w:val="22"/>
        </w:rPr>
        <w:t>). Rule 10b5-1 presents an opportunity for Insiders to establish arrangements to sell or purchase securities of the Company, even when there is undisclosed Material Non-Public Information. The use of such Trading Plans may also help reduce negative publicity that may result when Officers and Directors sell or purchase securities of the Company. Rule 10b5-1 only provides an “affirmative defense,” which limits or excuses a defendant’s criminal culpability or civil liability, in the event there is an insider-trading lawsuit. It does not prevent someone from bringing a lawsuit against the Company or the Insider.</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70205"/>
                <wp:effectExtent l="0" t="0" r="0" b="0"/>
                <wp:wrapNone/>
                <wp:docPr id="171" name="Frame169"/>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20"/>
        <w:jc w:val="left"/>
        <w:rPr>
          <w:rFonts w:ascii="sans-serif" w:hAnsi="sans-serif"/>
          <w:b w:val="false"/>
          <w:color w:val="000000"/>
          <w:sz w:val="22"/>
        </w:rPr>
      </w:pPr>
      <w:r>
        <w:rPr>
          <w:rFonts w:ascii="sans-serif" w:hAnsi="sans-serif"/>
          <w:b w:val="false"/>
          <w:color w:val="000000"/>
          <w:sz w:val="22"/>
        </w:rPr>
        <w:t>Individuals may adopt Trading Plans with brokers that outline a pre-set formula for trading of securities of the Company, including the exercise and sale of stock options. All Directors, Officers and employees at the level of Senior Vice President or above, shall enter into Trading Plans in order to sell the Company’s securities or purchase the Company’s securities. Trading Plans are to be adopted only in good faith during Open Window Periods and when the individual is not in possession of any Material Non-Public Information. Further, the Insider who entered into the Trading Plan must act in good faith with respect to the Trading Plan. It is the Company’s policy that trades under a Trading Plan occur only within the Company’s quarterly Open Window Periods.</w:t>
      </w:r>
    </w:p>
    <w:p>
      <w:pPr>
        <w:pStyle w:val="TextBody"/>
        <w:bidi w:val="0"/>
        <w:spacing w:lineRule="auto" w:line="300" w:before="0" w:after="120"/>
        <w:jc w:val="left"/>
        <w:rPr>
          <w:rFonts w:ascii="sans-serif" w:hAnsi="sans-serif"/>
          <w:b w:val="false"/>
          <w:color w:val="000000"/>
          <w:sz w:val="22"/>
        </w:rPr>
      </w:pPr>
      <w:r>
        <w:rPr>
          <w:rFonts w:ascii="sans-serif" w:hAnsi="sans-serif"/>
          <w:b w:val="false"/>
          <w:color w:val="000000"/>
          <w:sz w:val="22"/>
        </w:rPr>
        <w:t>Pursuant to Rule 10b5-1, an Insider’s purchase or sale of securities will not be “on the basis of” Material Non-Public Information if, among other things:</w:t>
      </w:r>
    </w:p>
    <w:p>
      <w:pPr>
        <w:pStyle w:val="TextBody"/>
        <w:bidi w:val="0"/>
        <w:spacing w:lineRule="auto" w:line="300" w:before="0" w:after="120"/>
        <w:jc w:val="left"/>
        <w:rPr/>
      </w:pPr>
      <w:r>
        <w:rPr>
          <w:rFonts w:ascii="sans-serif" w:hAnsi="sans-serif"/>
          <w:b w:val="false"/>
          <w:i/>
          <w:color w:val="000000"/>
          <w:sz w:val="22"/>
        </w:rPr>
        <w:t>First</w:t>
      </w:r>
      <w:r>
        <w:rPr>
          <w:rFonts w:ascii="sans-serif" w:hAnsi="sans-serif"/>
          <w:b w:val="false"/>
          <w:color w:val="000000"/>
          <w:sz w:val="22"/>
        </w:rPr>
        <w:t>, before becoming aware of the information, the Insider enters into a binding contract to purchase or sell the securities and adopts a Trading Plan.</w:t>
      </w:r>
    </w:p>
    <w:p>
      <w:pPr>
        <w:pStyle w:val="TextBody"/>
        <w:bidi w:val="0"/>
        <w:spacing w:lineRule="auto" w:line="300" w:before="0" w:after="120"/>
        <w:jc w:val="left"/>
        <w:rPr/>
      </w:pPr>
      <w:r>
        <w:rPr>
          <w:rFonts w:ascii="sans-serif" w:hAnsi="sans-serif"/>
          <w:b w:val="false"/>
          <w:i/>
          <w:color w:val="000000"/>
          <w:sz w:val="22"/>
        </w:rPr>
        <w:t>Second</w:t>
      </w:r>
      <w:r>
        <w:rPr>
          <w:rFonts w:ascii="sans-serif" w:hAnsi="sans-serif"/>
          <w:b w:val="false"/>
          <w:color w:val="000000"/>
          <w:sz w:val="22"/>
        </w:rPr>
        <w:t>, the Trading Plan discussed above: (i)(A) specifies the amount of securities to be purchased or sold, the price at which the securities are to be purchased or sold and the date(s) on which the securities are to be purchased and sold or (B) includes a written formula, algorithm or computer program for determining the amount, price and date of the transactions to be executed under the Trading Plan, and (ii) prohibits the Insider from exercising any subsequent influence over the transactions.</w:t>
      </w:r>
    </w:p>
    <w:p>
      <w:pPr>
        <w:pStyle w:val="TextBody"/>
        <w:bidi w:val="0"/>
        <w:spacing w:lineRule="auto" w:line="300" w:before="0" w:after="120"/>
        <w:jc w:val="left"/>
        <w:rPr/>
      </w:pPr>
      <w:r>
        <w:rPr>
          <w:rFonts w:ascii="sans-serif" w:hAnsi="sans-serif"/>
          <w:b w:val="false"/>
          <w:i/>
          <w:color w:val="000000"/>
          <w:sz w:val="22"/>
        </w:rPr>
        <w:t>Third</w:t>
      </w:r>
      <w:r>
        <w:rPr>
          <w:rFonts w:ascii="sans-serif" w:hAnsi="sans-serif"/>
          <w:b w:val="false"/>
          <w:color w:val="000000"/>
          <w:sz w:val="22"/>
        </w:rPr>
        <w:t>, the purchase or sale occurs pursuant to the Trading Plan and the Insider does not enter into a corresponding hedging transaction.</w:t>
      </w:r>
    </w:p>
    <w:p>
      <w:pPr>
        <w:pStyle w:val="TextBody"/>
        <w:bidi w:val="0"/>
        <w:spacing w:lineRule="auto" w:line="300" w:before="0" w:after="0"/>
        <w:ind w:left="0" w:right="0" w:hanging="720"/>
        <w:jc w:val="left"/>
        <w:rPr/>
      </w:pPr>
      <w:r>
        <w:rPr>
          <w:rFonts w:ascii="sans-serif" w:hAnsi="sans-serif"/>
          <w:b w:val="false"/>
          <w:color w:val="000000"/>
          <w:sz w:val="22"/>
        </w:rPr>
        <w:t>4.4.2    </w:t>
      </w:r>
      <w:r>
        <w:rPr>
          <w:rFonts w:ascii="sans-serif" w:hAnsi="sans-serif"/>
          <w:b/>
          <w:color w:val="000000"/>
          <w:sz w:val="22"/>
        </w:rPr>
        <w:t>Terminations to Plans.</w:t>
      </w:r>
      <w:r>
        <w:rPr>
          <w:color w:val="000000"/>
        </w:rPr>
        <w:t xml:space="preserve"> </w:t>
      </w:r>
      <w:r>
        <w:rPr>
          <w:rFonts w:ascii="sans-serif" w:hAnsi="sans-serif"/>
          <w:b w:val="false"/>
          <w:color w:val="000000"/>
          <w:sz w:val="22"/>
        </w:rPr>
        <w:t xml:space="preserve">Although an Insider may terminate their Trading Plan, the Company discourages such terminations. Terminations of a Trading Plan are subject to preapproval by the Trading Compliance Officer (with such preapproval not required after termination of employment or service with the Company). If the Insider terminates a Trading Plan, such termination can result in the loss of an affirmative defense for past or future transactions under a Trading Plan. The Insider should consult with their legal counsel before deciding to terminate a Trading Plan.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Under certain circumstances, a Trading Plan must be terminated or suspended. This includes circumstances such as the announcement of a merger involving the Company or the occurrence of a material event that would cause the transaction either to violate the law or to have an adverse effect on the Company. The Trading Compliance Officer is authorized to notify the broker in such circumstances of such suspension or termination.</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2"/>
        </w:rPr>
      </w:pPr>
      <w:r>
        <w:rPr>
          <w:rFonts w:ascii="sans-serif" w:hAnsi="sans-serif"/>
          <w:b w:val="false"/>
          <w:color w:val="000000"/>
          <w:sz w:val="22"/>
        </w:rPr>
        <w:t>Amendments to Trading plans are not permitted.</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70205"/>
                <wp:effectExtent l="0" t="0" r="0" b="0"/>
                <wp:wrapNone/>
                <wp:docPr id="172" name="Frame170"/>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720"/>
        <w:jc w:val="left"/>
        <w:rPr/>
      </w:pPr>
      <w:r>
        <w:rPr>
          <w:rFonts w:ascii="sans-serif" w:hAnsi="sans-serif"/>
          <w:b w:val="false"/>
          <w:color w:val="000000"/>
          <w:sz w:val="22"/>
        </w:rPr>
        <w:t>1.1.3</w:t>
      </w:r>
      <w:r>
        <w:rPr>
          <w:rFonts w:ascii="sans-serif" w:hAnsi="sans-serif"/>
          <w:b/>
          <w:color w:val="000000"/>
          <w:sz w:val="22"/>
        </w:rPr>
        <w:t>Duration.</w:t>
      </w:r>
      <w:r>
        <w:rPr>
          <w:color w:val="000000"/>
        </w:rPr>
        <w:t xml:space="preserve"> </w:t>
      </w:r>
      <w:r>
        <w:rPr>
          <w:rFonts w:ascii="sans-serif" w:hAnsi="sans-serif"/>
          <w:b w:val="false"/>
          <w:color w:val="000000"/>
          <w:sz w:val="22"/>
        </w:rPr>
        <w:t>The Company does not permit Trading Plans of less than twelve months’ duration or longer than two years in duration.</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1.1.4</w:t>
      </w:r>
      <w:r>
        <w:rPr>
          <w:rFonts w:ascii="sans-serif" w:hAnsi="sans-serif"/>
          <w:b/>
          <w:color w:val="000000"/>
          <w:sz w:val="22"/>
        </w:rPr>
        <w:t>Cooling-Off Period.</w:t>
      </w:r>
      <w:r>
        <w:rPr>
          <w:color w:val="000000"/>
        </w:rPr>
        <w:t xml:space="preserve"> </w:t>
      </w:r>
      <w:r>
        <w:rPr>
          <w:rFonts w:ascii="sans-serif" w:hAnsi="sans-serif"/>
          <w:b w:val="false"/>
          <w:color w:val="000000"/>
          <w:sz w:val="22"/>
        </w:rPr>
        <w:t>The Company requires a “Cooling Off Period” that extends to the later of 90 days after adoption of a Trading Plan or two business days after filing the Form 10-K or Form 10-Q covering the fiscal quarter in which the Trading Plan was adopted, up to a maximum of 120 days. It is the Insider’s responsibility to ensure that the Trading Plan complies with this provision. In addition, an Insider who terminates a Trading Plan prior to the term of such Trading Plan must wait for the Cooling Off Period described above before entering into a new Trading Plan.</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1.1.5</w:t>
      </w:r>
      <w:r>
        <w:rPr>
          <w:rFonts w:ascii="sans-serif" w:hAnsi="sans-serif"/>
          <w:b/>
          <w:color w:val="000000"/>
          <w:sz w:val="22"/>
        </w:rPr>
        <w:t>One Trading Plan.</w:t>
      </w:r>
      <w:r>
        <w:rPr>
          <w:color w:val="000000"/>
        </w:rPr>
        <w:t xml:space="preserve"> </w:t>
      </w:r>
      <w:r>
        <w:rPr>
          <w:rFonts w:ascii="sans-serif" w:hAnsi="sans-serif"/>
          <w:b w:val="false"/>
          <w:color w:val="000000"/>
          <w:sz w:val="22"/>
        </w:rPr>
        <w:t>Insiders may not adopt more than one Trading Plan at a time except under the limited circumstances permitted by Rule 10b5-1 and subject to preapproval by the Trading Compliance Officer.</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1.1.6</w:t>
      </w:r>
      <w:r>
        <w:rPr>
          <w:rFonts w:ascii="sans-serif" w:hAnsi="sans-serif"/>
          <w:b/>
          <w:color w:val="000000"/>
          <w:sz w:val="22"/>
        </w:rPr>
        <w:t>Required Representation in Trading Plan.</w:t>
      </w:r>
      <w:r>
        <w:rPr>
          <w:color w:val="000000"/>
        </w:rPr>
        <w:t xml:space="preserve"> </w:t>
      </w:r>
      <w:r>
        <w:rPr>
          <w:rFonts w:ascii="sans-serif" w:hAnsi="sans-serif"/>
          <w:b w:val="false"/>
          <w:color w:val="000000"/>
          <w:sz w:val="22"/>
        </w:rPr>
        <w:t>For Officers and Directors, any Trading Plan must include a representation in the Trading Plan that the Insider is (i) not aware of any Material Non-Public Information about the Company or its securities; and (ii) adopting the Trading Plan in good faith and not as part of a plan or scheme to evade Rule 10b-5.</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1.1.7</w:t>
      </w:r>
      <w:r>
        <w:rPr>
          <w:rFonts w:ascii="sans-serif" w:hAnsi="sans-serif"/>
          <w:b/>
          <w:color w:val="000000"/>
          <w:sz w:val="22"/>
        </w:rPr>
        <w:t>Discretionary Trading Plan.</w:t>
      </w:r>
      <w:r>
        <w:rPr>
          <w:color w:val="000000"/>
        </w:rPr>
        <w:t xml:space="preserve"> </w:t>
      </w:r>
      <w:r>
        <w:rPr>
          <w:rFonts w:ascii="sans-serif" w:hAnsi="sans-serif"/>
          <w:b w:val="false"/>
          <w:color w:val="000000"/>
          <w:sz w:val="22"/>
        </w:rPr>
        <w:t>The Company does not allow discretionary Trading Plans, where the control over trading is transferred to a broker or other individual.</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1.1.8</w:t>
      </w:r>
      <w:r>
        <w:rPr>
          <w:rFonts w:ascii="sans-serif" w:hAnsi="sans-serif"/>
          <w:b/>
          <w:color w:val="000000"/>
          <w:sz w:val="22"/>
        </w:rPr>
        <w:t>Pre-Approval of Trading Plan.</w:t>
      </w:r>
      <w:r>
        <w:rPr>
          <w:color w:val="000000"/>
        </w:rPr>
        <w:t xml:space="preserve"> </w:t>
      </w:r>
      <w:r>
        <w:rPr>
          <w:rFonts w:ascii="sans-serif" w:hAnsi="sans-serif"/>
          <w:b w:val="false"/>
          <w:color w:val="000000"/>
          <w:sz w:val="22"/>
        </w:rPr>
        <w:t>The Trading Compliance Officer must pre-approve all Trading Plans, but the actual transactions effected pursuant to a pre-approved Trading Plan will not be subject to the Trading Compliance Officer’s preclearance once the Trading Plan has been implemented.</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1.1.9</w:t>
      </w:r>
      <w:r>
        <w:rPr>
          <w:rFonts w:ascii="sans-serif" w:hAnsi="sans-serif"/>
          <w:b/>
          <w:color w:val="000000"/>
          <w:sz w:val="22"/>
        </w:rPr>
        <w:t>Reporting (If Required).</w:t>
      </w:r>
      <w:r>
        <w:rPr>
          <w:color w:val="000000"/>
        </w:rPr>
        <w:t xml:space="preserve"> </w:t>
      </w:r>
      <w:r>
        <w:rPr>
          <w:rFonts w:ascii="sans-serif" w:hAnsi="sans-serif"/>
          <w:b w:val="false"/>
          <w:color w:val="000000"/>
          <w:sz w:val="22"/>
        </w:rPr>
        <w:t>A Form 144 will be completed and filed with the SEC by the brokerage firm in accordance with the existing rules regarding Form 144 filings. The date of plan adoption will be included in the signature block of the Form 144. For Officers and Directors, filings under Section 16 of the Exchange Act are required, including filings on Form 4 which are generally required within two business days following the date of the applicable transaction. Trading Plans do not exempt the individuals from complying with the Section 16 six-month short swing profit rules or liability.</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1.1.10</w:t>
      </w:r>
      <w:r>
        <w:rPr>
          <w:rFonts w:ascii="sans-serif" w:hAnsi="sans-serif"/>
          <w:b/>
          <w:color w:val="000000"/>
          <w:sz w:val="22"/>
        </w:rPr>
        <w:t>Options.</w:t>
      </w:r>
      <w:r>
        <w:rPr>
          <w:color w:val="000000"/>
        </w:rPr>
        <w:t xml:space="preserve"> </w:t>
      </w:r>
      <w:r>
        <w:rPr>
          <w:rFonts w:ascii="sans-serif" w:hAnsi="sans-serif"/>
          <w:b w:val="false"/>
          <w:color w:val="000000"/>
          <w:sz w:val="22"/>
        </w:rPr>
        <w:t>The cash exercise of options can be executed at any time. Same-day-sale exercises of options are subject to Open Trading Window and this Policy. Trading Plans must be structured so that trading only occurs during the Company’s quarterly Open Window Periods.</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70205"/>
                <wp:effectExtent l="0" t="0" r="0" b="0"/>
                <wp:wrapNone/>
                <wp:docPr id="173" name="Frame171"/>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ind w:left="0" w:right="0" w:hanging="720"/>
        <w:jc w:val="left"/>
        <w:rPr/>
      </w:pPr>
      <w:r>
        <w:rPr>
          <w:rFonts w:ascii="sans-serif" w:hAnsi="sans-serif"/>
          <w:b w:val="false"/>
          <w:color w:val="000000"/>
          <w:sz w:val="22"/>
        </w:rPr>
        <w:t>1.1.11</w:t>
      </w:r>
      <w:r>
        <w:rPr>
          <w:rFonts w:ascii="sans-serif" w:hAnsi="sans-serif"/>
          <w:b/>
          <w:color w:val="000000"/>
          <w:sz w:val="22"/>
        </w:rPr>
        <w:t>Trades Outside of a Trading Plan.</w:t>
      </w:r>
      <w:r>
        <w:rPr>
          <w:color w:val="000000"/>
        </w:rPr>
        <w:t xml:space="preserve"> </w:t>
      </w:r>
      <w:r>
        <w:rPr>
          <w:rFonts w:ascii="sans-serif" w:hAnsi="sans-serif"/>
          <w:b w:val="false"/>
          <w:color w:val="000000"/>
          <w:sz w:val="22"/>
        </w:rPr>
        <w:t>Except as set forth in Paragraph 4.4.13 below, once a Trading Plan has been implemented, no additional trades may be placed by the Insider, including the sale of stock options, open market purchases or sales of securities, sales of shares acquired through the Company’s ESPP and upon vesting and settlement of RSUs and PSUs.</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1.1.12</w:t>
      </w:r>
      <w:r>
        <w:rPr>
          <w:rFonts w:ascii="sans-serif" w:hAnsi="sans-serif"/>
          <w:b/>
          <w:color w:val="000000"/>
          <w:sz w:val="22"/>
        </w:rPr>
        <w:t>Public Disclosures.</w:t>
      </w:r>
      <w:r>
        <w:rPr>
          <w:color w:val="000000"/>
        </w:rPr>
        <w:t xml:space="preserve"> </w:t>
      </w:r>
      <w:r>
        <w:rPr>
          <w:rFonts w:ascii="sans-serif" w:hAnsi="sans-serif"/>
          <w:b w:val="false"/>
          <w:color w:val="000000"/>
          <w:sz w:val="22"/>
        </w:rPr>
        <w:t>The Company may make a public announcement, disclosure, and/or securities filing (e.g., a Form 8-K) that discloses the adoption, modification, or termination of a Trading Plan and non-Rule 10b5-1 trading arrangements, or the execution of transactions made under a Trading Plan. It will consider in each case whether a public announcement and/or a securities filing of a particular Trading Plan should be made. The Trading Compliance Officer may monitor regulatory and other developments, and seek guidance from outside legal counsel in determining whether to make a public announcement or securities filing with respect to any Trading Plan. The Company may also make public announcements or respond to inquiries from the media as transactions are made under a Trading Plan.</w:t>
      </w:r>
    </w:p>
    <w:p>
      <w:pPr>
        <w:pStyle w:val="TextBody"/>
        <w:bidi w:val="0"/>
        <w:spacing w:before="0" w:after="0"/>
        <w:jc w:val="left"/>
        <w:rPr/>
      </w:pPr>
      <w:r>
        <w:rPr/>
      </w:r>
    </w:p>
    <w:p>
      <w:pPr>
        <w:pStyle w:val="TextBody"/>
        <w:bidi w:val="0"/>
        <w:spacing w:lineRule="auto" w:line="300" w:before="0" w:after="0"/>
        <w:ind w:left="0" w:right="0" w:hanging="720"/>
        <w:jc w:val="left"/>
        <w:rPr/>
      </w:pPr>
      <w:r>
        <w:rPr>
          <w:rFonts w:ascii="sans-serif" w:hAnsi="sans-serif"/>
          <w:b w:val="false"/>
          <w:color w:val="000000"/>
          <w:sz w:val="22"/>
        </w:rPr>
        <w:t>1.1.13</w:t>
      </w:r>
      <w:r>
        <w:rPr>
          <w:rFonts w:ascii="sans-serif" w:hAnsi="sans-serif"/>
          <w:b/>
          <w:color w:val="000000"/>
          <w:sz w:val="22"/>
        </w:rPr>
        <w:t>Charitable Gifts.</w:t>
      </w:r>
      <w:r>
        <w:rPr>
          <w:color w:val="000000"/>
        </w:rPr>
        <w:t xml:space="preserve"> </w:t>
      </w:r>
      <w:r>
        <w:rPr>
          <w:rFonts w:ascii="sans-serif" w:hAnsi="sans-serif"/>
          <w:b w:val="false"/>
          <w:color w:val="000000"/>
          <w:sz w:val="22"/>
        </w:rPr>
        <w:t>Insiders who have adopted a Trading Plan may make charitable gifts outside that Trading Plan provided that such gifts are made during an Open Window Period and when the individual is not in the possession of Material Non-Public Information. Personnel intending to make any such charitable gift are encouraged to consult with their personal attorney before making any such gift.</w:t>
      </w:r>
    </w:p>
    <w:p>
      <w:pPr>
        <w:pStyle w:val="TextBody"/>
        <w:bidi w:val="0"/>
        <w:spacing w:before="0" w:after="0"/>
        <w:jc w:val="left"/>
        <w:rPr/>
      </w:pPr>
      <w:r>
        <w:rPr/>
      </w:r>
    </w:p>
    <w:p>
      <w:pPr>
        <w:pStyle w:val="TextBody"/>
        <w:bidi w:val="0"/>
        <w:spacing w:lineRule="auto" w:line="300" w:before="0" w:after="120"/>
        <w:ind w:left="0" w:right="0" w:hanging="360"/>
        <w:jc w:val="left"/>
        <w:rPr/>
      </w:pPr>
      <w:r>
        <w:rPr>
          <w:rFonts w:ascii="sans-serif" w:hAnsi="sans-serif"/>
          <w:b w:val="false"/>
          <w:color w:val="000000"/>
          <w:sz w:val="22"/>
        </w:rPr>
        <w:t>5.0</w:t>
      </w:r>
      <w:r>
        <w:rPr>
          <w:rFonts w:ascii="sans-serif" w:hAnsi="sans-serif"/>
          <w:b/>
          <w:color w:val="000000"/>
          <w:sz w:val="22"/>
        </w:rPr>
        <w:t>Trading Compliance Officer.</w:t>
      </w:r>
      <w:r>
        <w:rPr>
          <w:color w:val="000000"/>
        </w:rPr>
        <w:t xml:space="preserve"> </w:t>
      </w:r>
      <w:r>
        <w:rPr>
          <w:rFonts w:ascii="sans-serif" w:hAnsi="sans-serif"/>
          <w:b w:val="false"/>
          <w:color w:val="000000"/>
          <w:sz w:val="22"/>
        </w:rPr>
        <w:t>The Chief Financial Officer is the Trading Compliance Officer for this Policy. All determinations and interpretations by the Trading Compliance Officer are final and are not subject to further review or appeal. The Chief Financial Officer may designate the General Counsel to act in his or her stead as the Trading Compliance Officer for this Policy.</w:t>
      </w:r>
    </w:p>
    <w:p>
      <w:pPr>
        <w:pStyle w:val="TextBody"/>
        <w:bidi w:val="0"/>
        <w:spacing w:lineRule="auto" w:line="300" w:before="0" w:after="120"/>
        <w:ind w:left="0" w:right="0" w:hanging="360"/>
        <w:jc w:val="left"/>
        <w:rPr/>
      </w:pPr>
      <w:r>
        <w:rPr>
          <w:rFonts w:ascii="sans-serif" w:hAnsi="sans-serif"/>
          <w:b w:val="false"/>
          <w:color w:val="000000"/>
          <w:sz w:val="22"/>
        </w:rPr>
        <w:t>6.0</w:t>
      </w:r>
      <w:r>
        <w:rPr>
          <w:rFonts w:ascii="sans-serif" w:hAnsi="sans-serif"/>
          <w:b/>
          <w:color w:val="000000"/>
          <w:sz w:val="22"/>
        </w:rPr>
        <w:t>Training and Inquiries.</w:t>
      </w:r>
      <w:r>
        <w:rPr>
          <w:color w:val="000000"/>
        </w:rPr>
        <w:t xml:space="preserve"> </w:t>
      </w:r>
      <w:r>
        <w:rPr>
          <w:rFonts w:ascii="sans-serif" w:hAnsi="sans-serif"/>
          <w:b w:val="false"/>
          <w:color w:val="000000"/>
          <w:sz w:val="22"/>
        </w:rPr>
        <w:t>Training under this Policy is available through the Company’s ISU. All employees of the Company are required to take the training as assigned and shall certify their training. Please direct your questions as to any of the matters discussed in this Policy to the Trading Compliance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70205"/>
                <wp:effectExtent l="0" t="0" r="0" b="0"/>
                <wp:wrapNone/>
                <wp:docPr id="174" name="Frame172"/>
                <a:graphic xmlns:a="http://schemas.openxmlformats.org/drawingml/2006/main">
                  <a:graphicData uri="http://schemas.microsoft.com/office/word/2010/wordprocessingShape">
                    <wps:wsp>
                      <wps:cNvSpPr txBox="1"/>
                      <wps:spPr>
                        <a:xfrm>
                          <a:off x="0" y="0"/>
                          <a:ext cx="6480175" cy="37020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21.1</w:t>
      </w:r>
    </w:p>
    <w:p>
      <w:pPr>
        <w:pStyle w:val="TextBody"/>
        <w:bidi w:val="0"/>
        <w:spacing w:before="0" w:after="0"/>
        <w:jc w:val="righ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INTUITIVE SURGICAL, INC.</w:t>
      </w:r>
    </w:p>
    <w:p>
      <w:pPr>
        <w:pStyle w:val="TextBody"/>
        <w:bidi w:val="0"/>
        <w:spacing w:lineRule="auto" w:line="288" w:before="0" w:after="0"/>
        <w:jc w:val="left"/>
        <w:rPr/>
      </w:pPr>
      <w:r>
        <w:rPr>
          <w:rFonts w:ascii="Times New Roman;serif" w:hAnsi="Times New Roman;serif"/>
          <w:b/>
          <w:color w:val="000000"/>
          <w:sz w:val="20"/>
        </w:rPr>
        <w:t>SUBSIDIARIES (All 100% owned other than Guanxing Medical Device (Beijing) Co., Ltd., Intuitive Surgical-Fosun (HongKong) Co., Ltd., Intuitive Surgical-Fosun Medical Device (Hainan) Co., Ltd.,</w:t>
      </w:r>
      <w:r>
        <w:rPr>
          <w:color w:val="000000"/>
        </w:rPr>
        <w:t xml:space="preserve"> </w:t>
      </w:r>
      <w:r>
        <w:rPr>
          <w:rFonts w:ascii="Times New Roman;serif" w:hAnsi="Times New Roman;serif"/>
          <w:b/>
          <w:color w:val="000000"/>
          <w:sz w:val="20"/>
        </w:rPr>
        <w:t>Intuitive Surgical-Fosun Medical Device (Tianjin) Co., Ltd., and Intuitive Surgical-Fosun Medical Technology (Shanghai) Co., Ltd.)</w:t>
      </w:r>
    </w:p>
    <w:tbl>
      <w:tblPr>
        <w:tblW w:w="10205" w:type="dxa"/>
        <w:jc w:val="left"/>
        <w:tblInd w:w="0" w:type="dxa"/>
        <w:tblLayout w:type="fixed"/>
        <w:tblCellMar>
          <w:top w:w="28" w:type="dxa"/>
          <w:left w:w="28" w:type="dxa"/>
          <w:bottom w:w="28" w:type="dxa"/>
          <w:right w:w="28" w:type="dxa"/>
        </w:tblCellMar>
      </w:tblPr>
      <w:tblGrid>
        <w:gridCol w:w="2366"/>
        <w:gridCol w:w="2067"/>
        <w:gridCol w:w="2072"/>
        <w:gridCol w:w="1081"/>
        <w:gridCol w:w="1080"/>
        <w:gridCol w:w="1539"/>
      </w:tblGrid>
      <w:tr>
        <w:trPr/>
        <w:tc>
          <w:tcPr>
            <w:tcW w:w="2366"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Subsidiaries of the Registrant</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State or Other Jurisdiction of Incorporation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Guanxing Medical Device (Beijing) Co.,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Fluorescence Imaging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Intuitive Rose,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AB</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ApS</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Denmark</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Australia Proprietary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B.V.</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Brasil Importacao E Comercio De Equipamentos Cirurgicos Ltda.</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Bulgaria EOOD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Bulgaria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Canada Inc.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Deutschland GmbH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GK</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HK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Holdings,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India Private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International B.V.</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International Finance LLC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Ireland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Ireland</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Intuitive Surgical Italia s.r.l.</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Korea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Israel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Limited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Intuitive Surgical Malaysia Sdn. Bhd.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Medical Device Science &amp; Technology (Shanghai) Co.,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Medical Device Taiwan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Operations, Inc.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Optics GmbH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Intuitive Surgical Osterreich GmbH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Service Optics Inc.</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Massachusetts, U.S.</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Pte.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S. de R. L. de C.V.</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S.A.S.</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s.r.o.</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Czech Republic</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Sarl</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Sarl Taiwan Branch</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Spain, S.L.</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SRL</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 Turkey Medikal Cihaz Ticaret Limited Serketi</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Surgical-Fosun (HongKong) Co.,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r>
      <w:tr>
        <w:trPr/>
        <w:tc>
          <w:tcPr>
            <w:tcW w:w="6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Intuitive Surgical-Fosun Medical Device (Hainan) Co., Ltd.</w:t>
            </w:r>
          </w:p>
        </w:tc>
        <w:tc>
          <w:tcPr>
            <w:tcW w:w="37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21.1</w:t>
      </w:r>
    </w:p>
    <w:tbl>
      <w:tblPr>
        <w:tblW w:w="9403" w:type="dxa"/>
        <w:jc w:val="left"/>
        <w:tblInd w:w="0" w:type="dxa"/>
        <w:tblLayout w:type="fixed"/>
        <w:tblCellMar>
          <w:top w:w="28" w:type="dxa"/>
          <w:left w:w="28" w:type="dxa"/>
          <w:bottom w:w="28" w:type="dxa"/>
          <w:right w:w="28" w:type="dxa"/>
        </w:tblCellMar>
      </w:tblPr>
      <w:tblGrid>
        <w:gridCol w:w="2006"/>
        <w:gridCol w:w="1762"/>
        <w:gridCol w:w="1766"/>
        <w:gridCol w:w="1131"/>
        <w:gridCol w:w="1131"/>
        <w:gridCol w:w="1607"/>
      </w:tblGrid>
      <w:tr>
        <w:trPr/>
        <w:tc>
          <w:tcPr>
            <w:tcW w:w="2006"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Subsidiaries of the Registrant</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State or Other Jurisdiction of Incorporation</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Intuitive Surgical-Fosun Medical Device (Tianjin) Co., Ltd. </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Surgical-Fosun Medical Technology (Shanghai) Co., Ltd.</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Intuitive Ventures Fund I, LLC</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Intuitive Ventures Fund II, LLC</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 U.S.</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Orpheus Medical GmbH</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Orpheus Medical Ltd.</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Israel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right"/>
        <w:rPr/>
      </w:pPr>
      <w:r>
        <w:rPr/>
      </w:r>
    </w:p>
    <w:p>
      <w:pPr>
        <w:pStyle w:val="TextBody"/>
        <w:bidi w:val="0"/>
        <w:spacing w:lineRule="auto" w:line="288" w:before="180" w:after="12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incorporation by reference in the Registration Statement on Form S-8 (Nos. 333-288895, 333-280923, 333-266304, 333-258073, 333-240046, 333-232829, 333-221043, 333-211064, 333-203793, 333-189399, 333-184488, 333-180863, 333-175904, 333-173803, 333-166833, 333-164586, 333-159228, 333-152558, 333-143433, 333-135004, 333-127162, 333-116499, 333-99893, 333-65342, and 333-43558) of Intuitive Surgical, Inc. of our report dated February 3, 2026, relating to the financial statements, financial statement schedule and the effectiveness of internal control over financial reporting, which appears in this Form 10-K.</w:t>
      </w:r>
    </w:p>
    <w:p>
      <w:pPr>
        <w:pStyle w:val="TextBody"/>
        <w:bidi w:val="0"/>
        <w:spacing w:before="180" w:after="283"/>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David J. Rosa, certify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Intuitive Surgical, Inc.;</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494"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134"/>
        <w:gridCol w:w="134"/>
        <w:gridCol w:w="136"/>
        <w:gridCol w:w="503"/>
        <w:gridCol w:w="503"/>
        <w:gridCol w:w="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2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DAVID J. ROSA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David J. Rosa</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Chief Executive Officer</w:t>
            </w:r>
          </w:p>
        </w:tc>
      </w:tr>
    </w:tbl>
    <w:p>
      <w:pPr>
        <w:pStyle w:val="TextBody"/>
        <w:bidi w:val="0"/>
        <w:spacing w:before="0" w:after="20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 Jamie E. Samath, certify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Intuitive Surgical, Inc.;</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324"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134"/>
        <w:gridCol w:w="134"/>
        <w:gridCol w:w="136"/>
        <w:gridCol w:w="1039"/>
        <w:gridCol w:w="1039"/>
        <w:gridCol w:w="147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5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15"/>
              </w:rPr>
              <w:t>/S/</w:t>
            </w:r>
            <w:r>
              <w:rPr>
                <w:color w:val="000000"/>
              </w:rPr>
              <w:t xml:space="preserve"> </w:t>
            </w:r>
            <w:r>
              <w:rPr>
                <w:rFonts w:ascii="Times New Roman;serif" w:hAnsi="Times New Roman;serif"/>
                <w:b w:val="false"/>
                <w:color w:val="000000"/>
                <w:sz w:val="20"/>
              </w:rPr>
              <w:t>JAMIE E. SAMATH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Jamie E. Samath</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45"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Intuitive Surgical, Inc. (the “Company”) hereby certifies, to such officer’s knowledge,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annual report on Form 10-K of the Company for the annual period ended December 31, 2025 (the “Report”) fully complies with the requirements of Section 13(a) or Section 15(d), as applicable, of the Securities Exchange Act of 1934, as amended;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4494" w:type="dxa"/>
        <w:jc w:val="righ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134"/>
        <w:gridCol w:w="134"/>
        <w:gridCol w:w="136"/>
        <w:gridCol w:w="503"/>
        <w:gridCol w:w="503"/>
        <w:gridCol w:w="71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24"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DAVID J. ROSA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David J. Rosa</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Chief Executive Officer</w:t>
            </w:r>
          </w:p>
        </w:tc>
      </w:tr>
    </w:tbl>
    <w:p>
      <w:pPr>
        <w:pStyle w:val="TextBody"/>
        <w:bidi w:val="0"/>
        <w:ind w:left="0" w:right="0" w:hanging="36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18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345" w:before="0" w:after="12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45" w:before="0" w:after="120"/>
        <w:jc w:val="both"/>
        <w:rPr>
          <w:rFonts w:ascii="Times New Roman;serif" w:hAnsi="Times New Roman;serif"/>
          <w:b w:val="false"/>
          <w:color w:val="000000"/>
          <w:sz w:val="20"/>
        </w:rPr>
      </w:pPr>
      <w:r>
        <w:rPr>
          <w:rFonts w:ascii="Times New Roman;serif" w:hAnsi="Times New Roman;serif"/>
          <w:b w:val="false"/>
          <w:color w:val="000000"/>
          <w:sz w:val="20"/>
        </w:rPr>
        <w:t>Pursuant to 18 U.S.C. § 1350, as adopted pursuant to Section 906 of the Sarbanes-Oxley Act of 2002, the undersigned officer of Intuitive Surgical, Inc. (the “Company”) hereby certifies, to such officer’s knowledge, that:</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(i)the accompanying annual report on Form 10-K of the Company for the annual period ended December 31, 2025 (the “Report”) fully complies with the requirements of Section 13(a) or Section 15(d), as applicable, of the Securities Exchange Act of 1934, as amended; and</w:t>
      </w:r>
    </w:p>
    <w:p>
      <w:pPr>
        <w:pStyle w:val="TextBody"/>
        <w:bidi w:val="0"/>
        <w:spacing w:lineRule="auto" w:line="345"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(ii)the information contained in the Report fairly presents, in all material respects, the financial condition and results of operations of the Company.</w:t>
      </w:r>
    </w:p>
    <w:tbl>
      <w:tblPr>
        <w:tblW w:w="6325" w:type="dxa"/>
        <w:jc w:val="righ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134"/>
        <w:gridCol w:w="134"/>
        <w:gridCol w:w="136"/>
        <w:gridCol w:w="1039"/>
        <w:gridCol w:w="1039"/>
        <w:gridCol w:w="14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55" w:type="dxa"/>
            <w:gridSpan w:val="3"/>
            <w:tcBorders/>
            <w:tcMar>
              <w:top w:w="0" w:type="dxa"/>
              <w:left w:w="0" w:type="dxa"/>
              <w:bottom w:w="0" w:type="dxa"/>
              <w:right w:w="0" w:type="dxa"/>
            </w:tcMar>
            <w:vAlign w:val="center"/>
          </w:tcPr>
          <w:p>
            <w:pPr>
              <w:pStyle w:val="TableContents"/>
              <w:bidi w:val="0"/>
              <w:spacing w:lineRule="auto" w:line="345" w:before="0" w:after="0"/>
              <w:jc w:val="center"/>
              <w:rPr/>
            </w:pPr>
            <w:r>
              <w:rPr>
                <w:rFonts w:ascii="Times New Roman;serif" w:hAnsi="Times New Roman;serif"/>
                <w:b w:val="false"/>
                <w:color w:val="000000"/>
                <w:sz w:val="20"/>
              </w:rPr>
              <w:t>/</w:t>
            </w:r>
            <w:r>
              <w:rPr>
                <w:rFonts w:ascii="Times New Roman;serif" w:hAnsi="Times New Roman;serif"/>
                <w:b w:val="false"/>
                <w:color w:val="000000"/>
                <w:sz w:val="15"/>
              </w:rPr>
              <w:t>S</w:t>
            </w:r>
            <w:r>
              <w:rPr>
                <w:rFonts w:ascii="Times New Roman;serif" w:hAnsi="Times New Roman;serif"/>
                <w:b w:val="false"/>
                <w:color w:val="000000"/>
                <w:sz w:val="20"/>
              </w:rPr>
              <w:t>/ JAMIE E. SAMATH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Jamie E. Samath</w:t>
            </w:r>
          </w:p>
          <w:p>
            <w:pPr>
              <w:pStyle w:val="TableContents"/>
              <w:bidi w:val="0"/>
              <w:spacing w:lineRule="auto" w:line="345" w:before="0" w:after="0"/>
              <w:jc w:val="center"/>
              <w:rPr>
                <w:rFonts w:ascii="Times New Roman;serif" w:hAnsi="Times New Roman;serif"/>
                <w:b/>
                <w:color w:val="000000"/>
                <w:sz w:val="15"/>
              </w:rPr>
            </w:pPr>
            <w:r>
              <w:rPr>
                <w:rFonts w:ascii="Times New Roman;serif" w:hAnsi="Times New Roman;serif"/>
                <w:b/>
                <w:color w:val="000000"/>
                <w:sz w:val="15"/>
              </w:rPr>
              <w:t>Executive Vice President and Chief Financial Officer</w:t>
            </w:r>
          </w:p>
        </w:tc>
      </w:tr>
    </w:tbl>
    <w:p>
      <w:pPr>
        <w:pStyle w:val="TextBody"/>
        <w:bidi w:val="0"/>
        <w:spacing w:before="0" w:after="12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4"/>
        </w:rPr>
      </w:pPr>
      <w:r>
        <w:rPr>
          <w:rFonts w:ascii="Times New Roman;serif" w:hAnsi="Times New Roman;serif"/>
          <w:b/>
          <w:color w:val="000000"/>
          <w:sz w:val="24"/>
        </w:rPr>
        <w:t>Exhibit 97.1</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INTUITIVE SURGICAL,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CLAWBACK POLICY</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amended January 29, 2026)</w:t>
      </w:r>
    </w:p>
    <w:p>
      <w:pPr>
        <w:pStyle w:val="TextBody"/>
        <w:bidi w:val="0"/>
        <w:spacing w:lineRule="auto" w:line="288" w:before="0" w:after="240"/>
        <w:ind w:left="0" w:right="0" w:firstLine="720"/>
        <w:jc w:val="both"/>
        <w:rPr/>
      </w:pPr>
      <w:r>
        <w:rPr>
          <w:rFonts w:ascii="Times New Roman;serif" w:hAnsi="Times New Roman;serif"/>
          <w:b w:val="false"/>
          <w:color w:val="000000"/>
          <w:sz w:val="24"/>
        </w:rPr>
        <w:t>Intuitive Surgical,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adopted this Clawback Policy (the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4"/>
        </w:rPr>
        <w:t>), originally effective as of October 2, 2023 (the “</w:t>
      </w:r>
      <w:r>
        <w:rPr>
          <w:rFonts w:ascii="Times New Roman;serif" w:hAnsi="Times New Roman;serif"/>
          <w:b/>
          <w:i/>
          <w:color w:val="000000"/>
          <w:sz w:val="24"/>
        </w:rPr>
        <w:t>Effective Date</w:t>
      </w:r>
      <w:r>
        <w:rPr>
          <w:color w:val="000000"/>
        </w:rPr>
        <w:t>”</w:t>
      </w:r>
      <w:r>
        <w:rPr>
          <w:rFonts w:ascii="Times New Roman;serif" w:hAnsi="Times New Roman;serif"/>
          <w:b w:val="false"/>
          <w:color w:val="000000"/>
          <w:sz w:val="24"/>
        </w:rPr>
        <w:t>). Capitalized terms used in the text of this Policy but not otherwise defined herein are defined in Section 11.</w:t>
      </w:r>
    </w:p>
    <w:p>
      <w:pPr>
        <w:pStyle w:val="TextBody"/>
        <w:bidi w:val="0"/>
        <w:spacing w:lineRule="auto" w:line="288" w:before="0" w:after="240"/>
        <w:ind w:left="0" w:right="0" w:hanging="720"/>
        <w:jc w:val="left"/>
        <w:rPr/>
      </w:pPr>
      <w:r>
        <w:rPr>
          <w:rFonts w:ascii="Times New Roman;serif" w:hAnsi="Times New Roman;serif"/>
          <w:b/>
          <w:color w:val="000000"/>
          <w:sz w:val="24"/>
        </w:rPr>
        <w:t>1.</w:t>
      </w:r>
      <w:r>
        <w:rPr>
          <w:rFonts w:ascii="Times New Roman;serif" w:hAnsi="Times New Roman;serif"/>
          <w:b/>
          <w:color w:val="000000"/>
          <w:sz w:val="24"/>
          <w:u w:val="single"/>
        </w:rPr>
        <w:t>Persons Subject to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Policy shall apply to current and former Officers.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pStyle w:val="TextBody"/>
        <w:bidi w:val="0"/>
        <w:spacing w:lineRule="auto" w:line="288" w:before="0" w:after="240"/>
        <w:jc w:val="left"/>
        <w:rPr/>
      </w:pPr>
      <w:r>
        <w:rPr>
          <w:rFonts w:ascii="Times New Roman;serif" w:hAnsi="Times New Roman;serif"/>
          <w:b/>
          <w:color w:val="000000"/>
          <w:sz w:val="24"/>
        </w:rPr>
        <w:t>2.    </w:t>
      </w:r>
      <w:r>
        <w:rPr>
          <w:rFonts w:ascii="Times New Roman;serif" w:hAnsi="Times New Roman;serif"/>
          <w:b/>
          <w:color w:val="000000"/>
          <w:sz w:val="24"/>
          <w:u w:val="single"/>
        </w:rPr>
        <w:t xml:space="preserve">Compensation Subject to Policy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the second paragraph under Section 3 below, 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pStyle w:val="TextBody"/>
        <w:bidi w:val="0"/>
        <w:spacing w:lineRule="auto" w:line="288" w:before="0" w:after="240"/>
        <w:jc w:val="both"/>
        <w:rPr/>
      </w:pPr>
      <w:r>
        <w:rPr>
          <w:rFonts w:ascii="Times New Roman;serif" w:hAnsi="Times New Roman;serif"/>
          <w:b/>
          <w:color w:val="000000"/>
          <w:sz w:val="24"/>
        </w:rPr>
        <w:t>3.    </w:t>
      </w:r>
      <w:r>
        <w:rPr>
          <w:rFonts w:ascii="Times New Roman;serif" w:hAnsi="Times New Roman;serif"/>
          <w:b/>
          <w:color w:val="000000"/>
          <w:sz w:val="24"/>
          <w:u w:val="single"/>
        </w:rPr>
        <w:t>Recovery of Compensation</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current or former Officer engaged in misconduct or otherwise caused or contributed to the requirement for the Restatement and regardless of whether or when restated financial statements are filed by the Company. </w:t>
      </w:r>
    </w:p>
    <w:p>
      <w:pPr>
        <w:pStyle w:val="TextBody"/>
        <w:bidi w:val="0"/>
        <w:spacing w:before="0" w:after="0"/>
        <w:ind w:left="0" w:right="0" w:firstLine="720"/>
        <w:jc w:val="both"/>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to the mandatory recoupment under this Policy as described above, in the event that the Company is required to prepare a Restatement and the Committee determines the current or former Officer’s engagement in fraudulent or willful misconduct contributed to and/or resulted in a Restatement, then the Committee may, in its sole discretion (considering any factors the Committee deems appropriate), require an Officer to repay or forfeit to the Company any time-vesting equity-based award or performance-vesting equity-based award, or portion thereof, </w:t>
      </w:r>
    </w:p>
    <w:p>
      <w:pPr>
        <w:pStyle w:val="TextBody"/>
        <w:bidi w:val="0"/>
        <w:spacing w:before="0" w:after="16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437515"/>
                <wp:effectExtent l="0" t="0" r="0" b="0"/>
                <wp:wrapNone/>
                <wp:docPr id="182" name="Frame180"/>
                <a:graphic xmlns:a="http://schemas.openxmlformats.org/drawingml/2006/main">
                  <a:graphicData uri="http://schemas.microsoft.com/office/word/2010/wordprocessingShape">
                    <wps:wsp>
                      <wps:cNvSpPr txBox="1"/>
                      <wps:spPr>
                        <a:xfrm>
                          <a:off x="0" y="0"/>
                          <a:ext cx="6480175" cy="437515"/>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that was granted, earned or vested during the Three-Year Period OR that the Committee determines would not, or was in excess of the amount that would, have been granted, earned or vested during the Three-Year Period. The amount to be recouped under this paragraph shall be determined by the Committee in its sole and absolute discretion. </w:t>
      </w:r>
    </w:p>
    <w:p>
      <w:pPr>
        <w:pStyle w:val="TextBody"/>
        <w:bidi w:val="0"/>
        <w:spacing w:before="0" w:after="0"/>
        <w:ind w:left="0" w:right="0" w:firstLine="720"/>
        <w:jc w:val="left"/>
        <w:rPr/>
      </w:pPr>
      <w:r>
        <w:rPr/>
      </w:r>
    </w:p>
    <w:p>
      <w:pPr>
        <w:pStyle w:val="TextBody"/>
        <w:bidi w:val="0"/>
        <w:spacing w:lineRule="auto" w:line="288" w:before="0" w:after="16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clarity, the recovery, or attempted recovery, of Erroneously Awarded Compensation or other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pStyle w:val="TextBody"/>
        <w:bidi w:val="0"/>
        <w:spacing w:lineRule="auto" w:line="288" w:before="0" w:after="240"/>
        <w:jc w:val="both"/>
        <w:rPr/>
      </w:pPr>
      <w:r>
        <w:rPr>
          <w:rFonts w:ascii="Times New Roman;serif" w:hAnsi="Times New Roman;serif"/>
          <w:b/>
          <w:color w:val="000000"/>
          <w:sz w:val="24"/>
        </w:rPr>
        <w:t>4.    </w:t>
      </w:r>
      <w:r>
        <w:rPr>
          <w:rFonts w:ascii="Times New Roman;serif" w:hAnsi="Times New Roman;serif"/>
          <w:b/>
          <w:color w:val="000000"/>
          <w:sz w:val="24"/>
          <w:u w:val="single"/>
        </w:rPr>
        <w:t>Manner of Recovery; Limitation on Duplicative Recovery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Committee shall, in its sole discretion, determine the manner of recovery of any Erroneously Awarded Compensation or other compensation recoverable under this Policy, which may include, without limitation, reduction or cancellation by the Company or an affiliate of the Company of Incentive-Based Compensation or Erroneously Awarded Compensation or other compensation recoverable under this Policy, reimbursement or repayment by any person subject to this Policy of the Erroneously Awarded Compensation or other compensation, and, to the extent permitted by law, an offset of the Erroneously Awarded Compensation or other compensation recoverable under this Policy against other compensation payable by the Company or an affiliate of the Company to such person. Notwithstanding the foregoing, unless otherwise prohibited by the Applicable Rules, to the extent this Policy provides for recovery of Erroneously Awarded Compensation or other compensation already recovered by the Company pursuant to Section 304 of the Sarbanes-Oxley Act of 2002 or Other Recovery Arrangements, the amount of Erroneously Awarded Compensation already recovered by the Company from the recipient of such Erroneously Awarded Compensation will be credited to the amount of Erroneously Awarded Compensation or other compensation required to be recovered pursuant to this Policy from such person.</w:t>
      </w:r>
    </w:p>
    <w:p>
      <w:pPr>
        <w:pStyle w:val="TextBody"/>
        <w:bidi w:val="0"/>
        <w:spacing w:lineRule="auto" w:line="288" w:before="0" w:after="240"/>
        <w:jc w:val="both"/>
        <w:rPr/>
      </w:pPr>
      <w:r>
        <w:rPr>
          <w:rFonts w:ascii="Times New Roman;serif" w:hAnsi="Times New Roman;serif"/>
          <w:b/>
          <w:color w:val="000000"/>
          <w:sz w:val="24"/>
        </w:rPr>
        <w:t>5.    </w:t>
      </w:r>
      <w:r>
        <w:rPr>
          <w:rFonts w:ascii="Times New Roman;serif" w:hAnsi="Times New Roman;serif"/>
          <w:b/>
          <w:color w:val="000000"/>
          <w:sz w:val="24"/>
          <w:u w:val="single"/>
        </w:rPr>
        <w:t>Administration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Policy shall be administered, interpreted and construed by the Committee, which is authorized to make all determinations necessary, appropriate or advisable for such purpose. The Board of Directors of the Company (the “</w:t>
      </w:r>
      <w:r>
        <w:rPr>
          <w:rFonts w:ascii="Times New Roman;serif" w:hAnsi="Times New Roman;serif"/>
          <w:b/>
          <w:i/>
          <w:color w:val="000000"/>
          <w:sz w:val="24"/>
        </w:rPr>
        <w:t>Board</w:t>
      </w:r>
      <w:r>
        <w:rPr>
          <w:color w:val="000000"/>
        </w:rPr>
        <w:t>”</w:t>
      </w:r>
      <w:r>
        <w:rPr>
          <w:rFonts w:ascii="Times New Roman;serif" w:hAnsi="Times New Roman;serif"/>
          <w:b w:val="false"/>
          <w:color w:val="000000"/>
          <w:sz w:val="24"/>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pStyle w:val="TextBody"/>
        <w:bidi w:val="0"/>
        <w:spacing w:before="0" w:after="16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974090"/>
                <wp:effectExtent l="0" t="0" r="0" b="0"/>
                <wp:wrapNone/>
                <wp:docPr id="183" name="Frame181"/>
                <a:graphic xmlns:a="http://schemas.openxmlformats.org/drawingml/2006/main">
                  <a:graphicData uri="http://schemas.microsoft.com/office/word/2010/wordprocessingShape">
                    <wps:wsp>
                      <wps:cNvSpPr txBox="1"/>
                      <wps:spPr>
                        <a:xfrm>
                          <a:off x="0" y="0"/>
                          <a:ext cx="6480175" cy="97409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4"/>
        </w:rPr>
        <w:t>6.    </w:t>
      </w:r>
      <w:r>
        <w:rPr>
          <w:rFonts w:ascii="Times New Roman;serif" w:hAnsi="Times New Roman;serif"/>
          <w:b/>
          <w:color w:val="000000"/>
          <w:sz w:val="24"/>
          <w:u w:val="single"/>
        </w:rPr>
        <w:t>Interpretation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mandatory recoupment of Erroneously Awarded Compensation under this Policy will be interpreted and applied in a manner that is consistent with the requirements of the Applicable Rules, and to the extent the mandatory recoupment of Erroneously Awarded Compensation under this Policy is inconsistent with such Applicable Rules, it shall be deemed amended to the extent necessary to ensure it is consistent therewith.</w:t>
      </w:r>
    </w:p>
    <w:p>
      <w:pPr>
        <w:pStyle w:val="TextBody"/>
        <w:bidi w:val="0"/>
        <w:spacing w:lineRule="auto" w:line="288" w:before="0" w:after="240"/>
        <w:jc w:val="both"/>
        <w:rPr/>
      </w:pPr>
      <w:r>
        <w:rPr>
          <w:rFonts w:ascii="Times New Roman;serif" w:hAnsi="Times New Roman;serif"/>
          <w:b/>
          <w:color w:val="000000"/>
          <w:sz w:val="24"/>
        </w:rPr>
        <w:t>7.    </w:t>
      </w:r>
      <w:r>
        <w:rPr>
          <w:rFonts w:ascii="Times New Roman;serif" w:hAnsi="Times New Roman;serif"/>
          <w:b/>
          <w:color w:val="000000"/>
          <w:sz w:val="24"/>
          <w:u w:val="single"/>
        </w:rPr>
        <w:t>No Indemnification; No Personal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not indemnify or insure any person against the loss of any Erroneously Awarded Compensation or other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 and each member of the Committee and the Board shall be fully indemnified by the Company to the fullest extent available under applicable law and the Company’s governing documents with respect to any actions taken under this Policy. The foregoing sentence shall not limit any other rights to indemnification of the members of the Board under applicable law and the Company’s governing documents.</w:t>
      </w:r>
    </w:p>
    <w:p>
      <w:pPr>
        <w:pStyle w:val="TextBody"/>
        <w:bidi w:val="0"/>
        <w:spacing w:lineRule="auto" w:line="288" w:before="0" w:after="240"/>
        <w:jc w:val="both"/>
        <w:rPr/>
      </w:pPr>
      <w:r>
        <w:rPr>
          <w:rFonts w:ascii="Times New Roman;serif" w:hAnsi="Times New Roman;serif"/>
          <w:b/>
          <w:color w:val="000000"/>
          <w:sz w:val="24"/>
        </w:rPr>
        <w:t>8.    </w:t>
      </w:r>
      <w:r>
        <w:rPr>
          <w:rFonts w:ascii="Times New Roman;serif" w:hAnsi="Times New Roman;serif"/>
          <w:b/>
          <w:color w:val="000000"/>
          <w:sz w:val="24"/>
          <w:u w:val="single"/>
        </w:rPr>
        <w:t>Application; Enforceability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Effective as of the Effective Date, the Policy shall supersede and replace in its entirety the Company’s existing Clawback Policy adopted in 2019 (the “</w:t>
      </w:r>
      <w:r>
        <w:rPr>
          <w:rFonts w:ascii="Times New Roman;serif" w:hAnsi="Times New Roman;serif"/>
          <w:b/>
          <w:i/>
          <w:color w:val="000000"/>
          <w:sz w:val="24"/>
        </w:rPr>
        <w:t>Prior Clawback Policy</w:t>
      </w:r>
      <w:r>
        <w:rPr>
          <w:color w:val="000000"/>
        </w:rPr>
        <w:t>”</w:t>
      </w:r>
      <w:r>
        <w:rPr>
          <w:rFonts w:ascii="Times New Roman;serif" w:hAnsi="Times New Roman;serif"/>
          <w:b w:val="false"/>
          <w:color w:val="000000"/>
          <w:sz w:val="24"/>
        </w:rPr>
        <w:t>); provided that, notwithstanding the foregoing, any cash incentive or performance-vesting equity based awards that are received prior to the Effective Date shall continue to remain subject to the Prior Clawback Policy.</w:t>
      </w:r>
    </w:p>
    <w:p>
      <w:pPr>
        <w:pStyle w:val="TextBody"/>
        <w:bidi w:val="0"/>
        <w:spacing w:lineRule="auto" w:line="288" w:before="0" w:after="240"/>
        <w:ind w:left="0" w:right="0" w:firstLine="720"/>
        <w:jc w:val="both"/>
        <w:rPr/>
      </w:pPr>
      <w:r>
        <w:rPr>
          <w:rFonts w:ascii="Times New Roman;serif" w:hAnsi="Times New Roman;serif"/>
          <w:b w:val="false"/>
          <w:color w:val="000000"/>
          <w:sz w:val="24"/>
        </w:rPr>
        <w:t>Except as otherwise determined by the Committee or the Board or to the extent specified above in respect of the Prior Clawback Policy,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serif" w:hAnsi="Times New Roman;serif"/>
          <w:b/>
          <w:i/>
          <w:color w:val="000000"/>
          <w:sz w:val="24"/>
        </w:rPr>
        <w:t>Other Recovery Arrangements</w:t>
      </w:r>
      <w:r>
        <w:rPr>
          <w:color w:val="000000"/>
        </w:rPr>
        <w:t>”</w:t>
      </w:r>
      <w:r>
        <w:rPr>
          <w:rFonts w:ascii="Times New Roman;serif" w:hAnsi="Times New Roman;serif"/>
          <w:b w:val="false"/>
          <w:color w:val="000000"/>
          <w:sz w:val="24"/>
        </w:rPr>
        <w:t>). The remedy specified in this Policy shall not be exclusive and shall be in addition to every other right or remedy at law or in equity that may be available to the Company or an affiliate of the Company. This Policy shall be binding and enforceable against all current and former Officers and their beneficiaries, heirs, executors, administrators or other legal representatives.</w:t>
      </w:r>
    </w:p>
    <w:p>
      <w:pPr>
        <w:pStyle w:val="TextBody"/>
        <w:bidi w:val="0"/>
        <w:spacing w:lineRule="auto" w:line="288" w:before="0" w:after="240"/>
        <w:jc w:val="both"/>
        <w:rPr/>
      </w:pPr>
      <w:r>
        <w:rPr>
          <w:rFonts w:ascii="Times New Roman;serif" w:hAnsi="Times New Roman;serif"/>
          <w:b/>
          <w:color w:val="000000"/>
          <w:sz w:val="24"/>
        </w:rPr>
        <w:t>9.    </w:t>
      </w:r>
      <w:r>
        <w:rPr>
          <w:rFonts w:ascii="Times New Roman;serif" w:hAnsi="Times New Roman;serif"/>
          <w:b/>
          <w:color w:val="000000"/>
          <w:sz w:val="24"/>
          <w:u w:val="single"/>
        </w:rPr>
        <w:t>Severability</w:t>
      </w:r>
    </w:p>
    <w:p>
      <w:pPr>
        <w:pStyle w:val="TextBody"/>
        <w:bidi w:val="0"/>
        <w:spacing w:before="0" w:after="16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974090"/>
                <wp:effectExtent l="0" t="0" r="0" b="0"/>
                <wp:wrapNone/>
                <wp:docPr id="184" name="Frame182"/>
                <a:graphic xmlns:a="http://schemas.openxmlformats.org/drawingml/2006/main">
                  <a:graphicData uri="http://schemas.microsoft.com/office/word/2010/wordprocessingShape">
                    <wps:wsp>
                      <wps:cNvSpPr txBox="1"/>
                      <wps:spPr>
                        <a:xfrm>
                          <a:off x="0" y="0"/>
                          <a:ext cx="6480175" cy="97409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 </w:t>
      </w:r>
    </w:p>
    <w:p>
      <w:pPr>
        <w:pStyle w:val="TextBody"/>
        <w:bidi w:val="0"/>
        <w:spacing w:lineRule="auto" w:line="288" w:before="0" w:after="240"/>
        <w:jc w:val="both"/>
        <w:rPr/>
      </w:pPr>
      <w:r>
        <w:rPr>
          <w:rFonts w:ascii="Times New Roman;serif" w:hAnsi="Times New Roman;serif"/>
          <w:b/>
          <w:color w:val="000000"/>
          <w:sz w:val="24"/>
        </w:rPr>
        <w:t>10.    </w:t>
      </w:r>
      <w:r>
        <w:rPr>
          <w:rFonts w:ascii="Times New Roman;serif" w:hAnsi="Times New Roman;serif"/>
          <w:b/>
          <w:color w:val="000000"/>
          <w:sz w:val="24"/>
          <w:u w:val="single"/>
        </w:rPr>
        <w:t>Amendment and Termination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pStyle w:val="TextBody"/>
        <w:bidi w:val="0"/>
        <w:spacing w:lineRule="auto" w:line="288" w:before="0" w:after="160"/>
        <w:jc w:val="left"/>
        <w:rPr/>
      </w:pPr>
      <w:r>
        <w:rPr>
          <w:rFonts w:ascii="Times New Roman;serif" w:hAnsi="Times New Roman;serif"/>
          <w:b/>
          <w:color w:val="000000"/>
          <w:sz w:val="24"/>
        </w:rPr>
        <w:t>11.    </w:t>
      </w:r>
      <w:r>
        <w:rPr>
          <w:rFonts w:ascii="Times New Roman;serif" w:hAnsi="Times New Roman;serif"/>
          <w:b/>
          <w:color w:val="000000"/>
          <w:sz w:val="24"/>
          <w:u w:val="single"/>
        </w:rPr>
        <w:t>Definitions</w:t>
      </w:r>
    </w:p>
    <w:p>
      <w:pPr>
        <w:pStyle w:val="TextBody"/>
        <w:bidi w:val="0"/>
        <w:spacing w:lineRule="auto" w:line="288" w:before="0" w:after="160"/>
        <w:jc w:val="both"/>
        <w:rPr/>
      </w:pPr>
      <w:r>
        <w:rPr>
          <w:color w:val="000000"/>
        </w:rPr>
        <w:t>    “</w:t>
      </w:r>
      <w:r>
        <w:rPr>
          <w:rFonts w:ascii="Times New Roman;serif" w:hAnsi="Times New Roman;serif"/>
          <w:b/>
          <w:i/>
          <w:color w:val="000000"/>
          <w:sz w:val="24"/>
        </w:rPr>
        <w:t>Applicable Rules</w:t>
      </w:r>
      <w:r>
        <w:rPr>
          <w:color w:val="000000"/>
        </w:rPr>
        <w:t xml:space="preserve">” </w:t>
      </w:r>
      <w:r>
        <w:rPr>
          <w:rFonts w:ascii="Times New Roman;serif" w:hAnsi="Times New Roman;serif"/>
          <w:b w:val="false"/>
          <w:color w:val="000000"/>
          <w:sz w:val="24"/>
        </w:rPr>
        <w:t>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Committee</w:t>
      </w:r>
      <w:r>
        <w:rPr>
          <w:color w:val="000000"/>
        </w:rPr>
        <w:t xml:space="preserve">” </w:t>
      </w:r>
      <w:r>
        <w:rPr>
          <w:rFonts w:ascii="Times New Roman;serif" w:hAnsi="Times New Roman;serif"/>
          <w:b w:val="false"/>
          <w:color w:val="000000"/>
          <w:sz w:val="24"/>
        </w:rPr>
        <w:t>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Erroneously Awarded Compensation</w:t>
      </w:r>
      <w:r>
        <w:rPr>
          <w:color w:val="000000"/>
        </w:rPr>
        <w:t xml:space="preserve">” </w:t>
      </w:r>
      <w:r>
        <w:rPr>
          <w:rFonts w:ascii="Times New Roman;serif" w:hAnsi="Times New Roman;serif"/>
          <w:b w:val="false"/>
          <w:color w:val="000000"/>
          <w:sz w:val="24"/>
        </w:rPr>
        <w:t>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Financial Reporting Measure</w:t>
      </w:r>
      <w:r>
        <w:rPr>
          <w:color w:val="000000"/>
        </w:rPr>
        <w:t xml:space="preserve">” </w:t>
      </w:r>
      <w:r>
        <w:rPr>
          <w:rFonts w:ascii="Times New Roman;serif" w:hAnsi="Times New Roman;serif"/>
          <w:b w:val="false"/>
          <w:color w:val="000000"/>
          <w:sz w:val="24"/>
        </w:rPr>
        <w:t xml:space="preserve">means any measure determined and presented in accordance with the accounting principles used in preparing the Company’s financial statements, and any measures derived wholly or in part from such measures, including GAAP and non-GAAP financial measures, as well as stock or share price and total equityholder return.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GAAP</w:t>
      </w:r>
      <w:r>
        <w:rPr>
          <w:color w:val="000000"/>
        </w:rPr>
        <w:t xml:space="preserve">” </w:t>
      </w:r>
      <w:r>
        <w:rPr>
          <w:rFonts w:ascii="Times New Roman;serif" w:hAnsi="Times New Roman;serif"/>
          <w:b w:val="false"/>
          <w:color w:val="000000"/>
          <w:sz w:val="24"/>
        </w:rPr>
        <w:t>means United States generally accepted accounting principles.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Impracticable</w:t>
      </w:r>
      <w:r>
        <w:rPr>
          <w:color w:val="000000"/>
        </w:rPr>
        <w:t xml:space="preserve">” </w:t>
      </w:r>
      <w:r>
        <w:rPr>
          <w:rFonts w:ascii="Times New Roman;serif" w:hAnsi="Times New Roman;serif"/>
          <w:b w:val="false"/>
          <w:color w:val="000000"/>
          <w:sz w:val="24"/>
        </w:rPr>
        <w:t xml:space="preserve">means (a) the direct costs paid to third parties to assist in enforcing recovery would exceed the Erroneously Awarded Compensation; provided that the Company has (i) made reasonable attempts to recover the Erroneously Awarded Compensation, (ii) </w:t>
      </w:r>
    </w:p>
    <w:p>
      <w:pPr>
        <w:pStyle w:val="TextBody"/>
        <w:bidi w:val="0"/>
        <w:spacing w:before="0" w:after="16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974090"/>
                <wp:effectExtent l="0" t="0" r="0" b="0"/>
                <wp:wrapNone/>
                <wp:docPr id="185" name="Frame183"/>
                <a:graphic xmlns:a="http://schemas.openxmlformats.org/drawingml/2006/main">
                  <a:graphicData uri="http://schemas.microsoft.com/office/word/2010/wordprocessingShape">
                    <wps:wsp>
                      <wps:cNvSpPr txBox="1"/>
                      <wps:spPr>
                        <a:xfrm>
                          <a:off x="0" y="0"/>
                          <a:ext cx="6480175" cy="97409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Incentive-Based Compensation</w:t>
      </w:r>
      <w:r>
        <w:rPr>
          <w:color w:val="000000"/>
        </w:rPr>
        <w:t xml:space="preserve">” </w:t>
      </w:r>
      <w:r>
        <w:rPr>
          <w:rFonts w:ascii="Times New Roman;serif" w:hAnsi="Times New Roman;serif"/>
          <w:b w:val="false"/>
          <w:color w:val="000000"/>
          <w:sz w:val="24"/>
        </w:rPr>
        <w:t>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Officer</w:t>
      </w:r>
      <w:r>
        <w:rPr>
          <w:color w:val="000000"/>
        </w:rPr>
        <w:t xml:space="preserve">” </w:t>
      </w:r>
      <w:r>
        <w:rPr>
          <w:rFonts w:ascii="Times New Roman;serif" w:hAnsi="Times New Roman;serif"/>
          <w:b w:val="false"/>
          <w:color w:val="000000"/>
          <w:sz w:val="24"/>
        </w:rPr>
        <w:t>means each person who serves as an executive officer of the Company, as defined in Rule 10D-1(d) under the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Restatement</w:t>
      </w:r>
      <w:r>
        <w:rPr>
          <w:color w:val="000000"/>
        </w:rPr>
        <w:t xml:space="preserve">” </w:t>
      </w:r>
      <w:r>
        <w:rPr>
          <w:rFonts w:ascii="Times New Roman;serif" w:hAnsi="Times New Roman;serif"/>
          <w:b w:val="false"/>
          <w:color w:val="000000"/>
          <w:sz w:val="24"/>
        </w:rPr>
        <w:t>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Three-Year Period</w:t>
      </w:r>
      <w:r>
        <w:rPr>
          <w:color w:val="000000"/>
        </w:rPr>
        <w:t xml:space="preserve">” </w:t>
      </w:r>
      <w:r>
        <w:rPr>
          <w:rFonts w:ascii="Times New Roman;serif" w:hAnsi="Times New Roman;serif"/>
          <w:b w:val="false"/>
          <w:color w:val="000000"/>
          <w:sz w:val="24"/>
        </w:rPr>
        <w:t>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pStyle w:val="TextBody"/>
        <w:bidi w:val="0"/>
        <w:spacing w:before="0" w:after="160"/>
        <w:jc w:val="center"/>
        <w:rPr/>
      </w:pPr>
      <w:r>
        <w:rPr/>
      </w:r>
    </w:p>
    <w:p>
      <w:pPr>
        <w:pStyle w:val="TextBody"/>
        <w:bidi w:val="0"/>
        <w:spacing w:before="0" w:after="160"/>
        <w:jc w:val="center"/>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974090"/>
                <wp:effectExtent l="0" t="0" r="0" b="0"/>
                <wp:wrapNone/>
                <wp:docPr id="186" name="Frame184"/>
                <a:graphic xmlns:a="http://schemas.openxmlformats.org/drawingml/2006/main">
                  <a:graphicData uri="http://schemas.microsoft.com/office/word/2010/wordprocessingShape">
                    <wps:wsp>
                      <wps:cNvSpPr txBox="1"/>
                      <wps:spPr>
                        <a:xfrm>
                          <a:off x="0" y="0"/>
                          <a:ext cx="6480175" cy="97409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v:textbox>
                <w10:wrap type="none"/>
              </v:rect>
            </w:pict>
          </mc:Fallback>
        </mc:AlternateConten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 xml:space="preserve">ACKNOWLEDGMENT AND CONSENT TO </w:t>
        <w:br/>
        <w:t xml:space="preserve">CLAWBACK POLICY </w:t>
      </w:r>
    </w:p>
    <w:p>
      <w:pPr>
        <w:pStyle w:val="TextBody"/>
        <w:bidi w:val="0"/>
        <w:spacing w:lineRule="auto" w:line="288" w:before="0" w:after="160"/>
        <w:jc w:val="both"/>
        <w:rPr/>
      </w:pPr>
      <w:r>
        <w:rPr>
          <w:rFonts w:ascii="Times New Roman;serif" w:hAnsi="Times New Roman;serif"/>
          <w:b/>
          <w:color w:val="000000"/>
          <w:sz w:val="24"/>
        </w:rPr>
        <w:br/>
      </w:r>
      <w:r>
        <w:rPr>
          <w:rFonts w:ascii="Times New Roman;serif" w:hAnsi="Times New Roman;serif"/>
          <w:b w:val="false"/>
          <w:color w:val="000000"/>
          <w:sz w:val="24"/>
        </w:rPr>
        <w:t>The undersigned has received a copy of the Clawback Policy (as amended from time to time, the “</w:t>
      </w:r>
      <w:r>
        <w:rPr>
          <w:rFonts w:ascii="Times New Roman;serif" w:hAnsi="Times New Roman;serif"/>
          <w:b/>
          <w:i/>
          <w:color w:val="000000"/>
          <w:sz w:val="24"/>
        </w:rPr>
        <w:t>Policy</w:t>
      </w:r>
      <w:r>
        <w:rPr>
          <w:color w:val="000000"/>
        </w:rPr>
        <w:t>”</w:t>
      </w:r>
      <w:r>
        <w:rPr>
          <w:rFonts w:ascii="Times New Roman;serif" w:hAnsi="Times New Roman;serif"/>
          <w:b w:val="false"/>
          <w:color w:val="000000"/>
          <w:sz w:val="24"/>
        </w:rPr>
        <w:t>) adopted by Intuitive Surgical,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160"/>
        <w:jc w:val="both"/>
        <w:rPr>
          <w:rFonts w:ascii="Times New Roman;serif" w:hAnsi="Times New Roman;serif"/>
          <w:b w:val="false"/>
          <w:color w:val="000000"/>
          <w:sz w:val="24"/>
        </w:rPr>
      </w:pPr>
      <w:r>
        <w:rPr>
          <w:rFonts w:ascii="Times New Roman;serif" w:hAnsi="Times New Roman;serif"/>
          <w:b w:val="false"/>
          <w:color w:val="000000"/>
          <w:sz w:val="24"/>
        </w:rPr>
        <w:t>In consideration of, and as a condition to, the receipt of future cash and equity incentive compensation from the Company,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pStyle w:val="TextBody"/>
        <w:bidi w:val="0"/>
        <w:spacing w:before="0" w:after="160"/>
        <w:ind w:left="0" w:right="0" w:firstLine="720"/>
        <w:jc w:val="both"/>
        <w:rPr/>
      </w:pPr>
      <w:r>
        <w:rPr/>
      </w:r>
    </w:p>
    <w:p>
      <w:pPr>
        <w:pStyle w:val="TextBody"/>
        <w:bidi w:val="0"/>
        <w:spacing w:before="0" w:after="160"/>
        <w:ind w:left="0" w:right="0" w:firstLine="720"/>
        <w:jc w:val="both"/>
        <w:rPr/>
      </w:pPr>
      <w:r>
        <w:rPr/>
      </w:r>
    </w:p>
    <w:tbl>
      <w:tblPr>
        <w:tblW w:w="7350" w:type="dxa"/>
        <w:jc w:val="left"/>
        <w:tblInd w:w="0" w:type="dxa"/>
        <w:tblLayout w:type="fixed"/>
        <w:tblCellMar>
          <w:top w:w="28" w:type="dxa"/>
          <w:left w:w="28" w:type="dxa"/>
          <w:bottom w:w="28" w:type="dxa"/>
          <w:right w:w="28" w:type="dxa"/>
        </w:tblCellMar>
      </w:tblPr>
      <w:tblGrid>
        <w:gridCol w:w="870"/>
        <w:gridCol w:w="761"/>
        <w:gridCol w:w="769"/>
        <w:gridCol w:w="1446"/>
        <w:gridCol w:w="1446"/>
        <w:gridCol w:w="2058"/>
      </w:tblGrid>
      <w:tr>
        <w:trPr/>
        <w:tc>
          <w:tcPr>
            <w:tcW w:w="87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___________________</w:t>
            </w:r>
          </w:p>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Date</w:t>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Signature</w:t>
            </w:r>
          </w:p>
        </w:tc>
      </w:tr>
      <w:tr>
        <w:trPr/>
        <w:tc>
          <w:tcPr>
            <w:tcW w:w="2400" w:type="dxa"/>
            <w:gridSpan w:val="3"/>
            <w:tcBorders/>
            <w:tcMar>
              <w:top w:w="0" w:type="dxa"/>
              <w:left w:w="0" w:type="dxa"/>
              <w:bottom w:w="0" w:type="dxa"/>
              <w:right w:w="0" w:type="dxa"/>
            </w:tcMar>
            <w:vAlign w:val="center"/>
          </w:tcPr>
          <w:p>
            <w:pPr>
              <w:pStyle w:val="TableContents"/>
              <w:bidi w:val="0"/>
              <w:spacing w:before="0" w:after="160"/>
              <w:jc w:val="both"/>
              <w:rPr/>
            </w:pPr>
            <w:r>
              <w:rPr/>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2400" w:type="dxa"/>
            <w:gridSpan w:val="3"/>
            <w:tcBorders/>
            <w:tcMar>
              <w:top w:w="0" w:type="dxa"/>
              <w:left w:w="0" w:type="dxa"/>
              <w:bottom w:w="0" w:type="dxa"/>
              <w:right w:w="0" w:type="dxa"/>
            </w:tcMar>
            <w:vAlign w:val="center"/>
          </w:tcPr>
          <w:p>
            <w:pPr>
              <w:pStyle w:val="TableContents"/>
              <w:bidi w:val="0"/>
              <w:spacing w:before="0" w:after="160"/>
              <w:jc w:val="both"/>
              <w:rPr/>
            </w:pPr>
            <w:r>
              <w:rPr/>
            </w:r>
          </w:p>
        </w:tc>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ableContents"/>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240"/>
        <w:jc w:val="center"/>
        <w:rPr/>
      </w:pPr>
      <w:r>
        <w:rPr/>
      </w:r>
    </w:p>
    <w:p>
      <w:pPr>
        <w:pStyle w:val="TextBody"/>
        <w:bidi w:val="0"/>
        <w:spacing w:before="0" w:after="240"/>
        <w:ind w:left="0" w:right="0" w:firstLine="7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974090"/>
                <wp:effectExtent l="0" t="0" r="0" b="0"/>
                <wp:wrapNone/>
                <wp:docPr id="187" name="Frame185"/>
                <a:graphic xmlns:a="http://schemas.openxmlformats.org/drawingml/2006/main">
                  <a:graphicData uri="http://schemas.microsoft.com/office/word/2010/wordprocessingShape">
                    <wps:wsp>
                      <wps:cNvSpPr txBox="1"/>
                      <wps:spPr>
                        <a:xfrm>
                          <a:off x="0" y="0"/>
                          <a:ext cx="6480175" cy="974090"/>
                        </a:xfrm>
                        <a:prstGeom prst="rect"/>
                        <a:solidFill>
                          <a:srgbClr val="FFFFFF"/>
                        </a:solidFill>
                      </wps:spPr>
                      <wps:txbx>
                        <w:txbxContent>
                          <w:p>
                            <w:pPr>
                              <w:pStyle w:val="TextBody"/>
                              <w:bidi w:val="0"/>
                              <w:spacing w:before="0" w:after="160"/>
                              <w:jc w:val="center"/>
                              <w:rPr/>
                            </w:pPr>
                            <w:r>
                              <w:rPr/>
                            </w:r>
                            <w:r>
                              <w:br w:type="page"/>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center"/>
                        <w:rPr/>
                      </w:pPr>
                      <w:r>
                        <w:rPr/>
                      </w:r>
                    </w:p>
                    <w:p>
                      <w:pPr>
                        <w:pStyle w:val="TextBody"/>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160"/>
                        <w:jc w:val="left"/>
                        <w:rPr/>
                      </w:pPr>
                      <w:r>
                        <w:rPr/>
                      </w:r>
                    </w:p>
                    <w:p>
                      <w:pPr>
                        <w:pStyle w:val="TextBody"/>
                        <w:bidi w:val="0"/>
                        <w:spacing w:lineRule="auto" w:line="300" w:before="0" w:after="160"/>
                        <w:jc w:val="left"/>
                        <w:rPr>
                          <w:rFonts w:ascii="sans-serif" w:hAnsi="sans-serif"/>
                          <w:b w:val="false"/>
                          <w:color w:val="000000"/>
                          <w:sz w:val="16"/>
                        </w:rPr>
                      </w:pPr>
                      <w:r>
                        <w:rPr>
                          <w:rFonts w:ascii="sans-serif" w:hAnsi="sans-serif"/>
                          <w:b w:val="false"/>
                          <w:color w:val="000000"/>
                          <w:sz w:val="16"/>
                        </w:rPr>
                        <w:t>|</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035267/000103526720000166/ex-31xamendedandrestat.htm" TargetMode="External"/><Relationship Id="rId5" Type="http://schemas.openxmlformats.org/officeDocument/2006/relationships/hyperlink" Target="https://www.sec.gov/Archives/edgar/data/1035267/000103526721000178/exhibit31-arcertificateofi.htm" TargetMode="External"/><Relationship Id="rId6" Type="http://schemas.openxmlformats.org/officeDocument/2006/relationships/hyperlink" Target="https://www.sec.gov/Archives/edgar/data/1035267/000103526721000021/exhibit31-amendedandrestat.htm" TargetMode="External"/><Relationship Id="rId7" Type="http://schemas.openxmlformats.org/officeDocument/2006/relationships/hyperlink" Target="https://www.sec.gov/Archives/edgar/data/1035267/000089161800002457/0000891618-00-002457.txt" TargetMode="External"/><Relationship Id="rId8" Type="http://schemas.openxmlformats.org/officeDocument/2006/relationships/hyperlink" Target="https://www.sec.gov/Archives/edgar/data/1035267/000103526722000014/isrg-20211231xex42q42021xf.htm" TargetMode="External"/><Relationship Id="rId9" Type="http://schemas.openxmlformats.org/officeDocument/2006/relationships/hyperlink" Target="https://www.sec.gov/Archives/edgar/data/1035267/000103526722000014/isrg-20211231xex42q42021xf.htm" TargetMode="External"/><Relationship Id="rId10" Type="http://schemas.openxmlformats.org/officeDocument/2006/relationships/hyperlink" Target="https://www.sec.gov/Archives/edgar/data/1035267/000089161800001640/0000891618-00-001640.txt" TargetMode="External"/><Relationship Id="rId11" Type="http://schemas.openxmlformats.org/officeDocument/2006/relationships/hyperlink" Target="https://www.sec.gov/Archives/edgar/data/1035267/000103526715000087/ex101intuitivesurgicalincf.htm" TargetMode="External"/><Relationship Id="rId12" Type="http://schemas.openxmlformats.org/officeDocument/2006/relationships/hyperlink" Target="https://www.sec.gov/Archives/edgar/data/1035267/000103526715000051/ex422009employmentcommence.htm" TargetMode="External"/><Relationship Id="rId13" Type="http://schemas.openxmlformats.org/officeDocument/2006/relationships/hyperlink" Target="https://www.sec.gov/ix?doc=/Archives/edgar/data/0001035267/000103526724000171/isrg-20240425.htm" TargetMode="External"/><Relationship Id="rId14" Type="http://schemas.openxmlformats.org/officeDocument/2006/relationships/hyperlink" Target="https://www.sec.gov/ix?doc=/Archives/edgar/data/0001035267/000103526725000156/isrg-20250501.htm" TargetMode="External"/><Relationship Id="rId15" Type="http://schemas.openxmlformats.org/officeDocument/2006/relationships/hyperlink" Target="https://www.sec.gov/Archives/edgar/data/1035267/000119312508246630/dex101.htm" TargetMode="External"/><Relationship Id="rId16" Type="http://schemas.openxmlformats.org/officeDocument/2006/relationships/hyperlink" Target="https://www.sec.gov/Archives/edgar/data/1035267/000103526715000051/ex422009employmentcommence.htm" TargetMode="External"/><Relationship Id="rId17" Type="http://schemas.openxmlformats.org/officeDocument/2006/relationships/hyperlink" Target="https://www.sec.gov/Archives/edgar/data/1035267/000103526723000019/q422ex-109xfy23optionagree.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65</Pages>
  <Words>112872</Words>
  <Characters>638504</Characters>
  <CharactersWithSpaces>747716</CharactersWithSpaces>
  <Paragraphs>5821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